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bookmarkStart w:id="0" w:name="__RefHeading___Toc23962_1543575209"/>
      <w:bookmarkEnd w:id="0"/>
      <w:r>
        <w:rPr>
          <w:rStyle w:val="Strong"/>
          <w:b/>
          <w:bCs/>
        </w:rPr>
        <w:t>INTRODUCTION DU TRAITÉ</w:t>
      </w:r>
    </w:p>
    <w:p>
      <w:pPr>
        <w:pStyle w:val="BodyText"/>
        <w:bidi w:val="0"/>
        <w:ind w:hanging="0" w:start="0"/>
        <w:jc w:val="start"/>
        <w:rPr/>
      </w:pPr>
      <w:r>
        <w:rPr>
          <w:rStyle w:val="Emphasis"/>
          <w:b w:val="false"/>
          <w:bCs w:val="false"/>
          <w:i w:val="false"/>
          <w:iCs w:val="false"/>
        </w:rPr>
        <w:t>Il devient chaque jour plus évident que les paradigmes classiques — mécanistes, substantialistes, dualistes ou strictement énergétiques — ne suffisent plus à rendre compte de la réalité dans son épaisseur dynamique. Les sciences contemporaines, de la cosmologie à la neurobiologie, de la thermodynamique hors équilibre aux systèmes sociaux complexes, convergent vers une intuition désormais récurrente : le réel n’est pas d’abord un ensemble de choses, mais un tissu de flux, de tensions, de transformations et de stabilisations.</w:t>
      </w:r>
    </w:p>
    <w:p>
      <w:pPr>
        <w:pStyle w:val="BodyText"/>
        <w:bidi w:val="0"/>
        <w:spacing w:before="0" w:after="283"/>
        <w:jc w:val="start"/>
        <w:rPr/>
      </w:pPr>
      <w:r>
        <w:rPr>
          <w:b w:val="false"/>
          <w:bCs w:val="false"/>
        </w:rPr>
        <w:t xml:space="preserve">Les formes — physiques, biologiques, mentales, symboliques ou institutionnelles — ne préexistent pas aux processus : elles peuvent être comprises comme des solutions locales, éphémères ou persistantes, produites par la nécessité de canaliser, de dissiper ou d’intégrer des gradients énergétiques et informationnels. Autrement dit, une forme n’est pas un donné premier, mais un </w:t>
      </w:r>
      <w:r>
        <w:rPr>
          <w:rStyle w:val="Strong"/>
          <w:b w:val="false"/>
          <w:bCs w:val="false"/>
        </w:rPr>
        <w:t>régime de réponse</w:t>
      </w:r>
      <w:r>
        <w:rPr>
          <w:b w:val="false"/>
          <w:bCs w:val="false"/>
        </w:rPr>
        <w:t xml:space="preserve"> à des flux qui la dépassent.</w:t>
      </w:r>
    </w:p>
    <w:p>
      <w:pPr>
        <w:pStyle w:val="BodyText"/>
        <w:bidi w:val="0"/>
        <w:spacing w:before="0" w:after="283"/>
        <w:jc w:val="start"/>
        <w:rPr/>
      </w:pPr>
      <w:r>
        <w:rPr>
          <w:b w:val="false"/>
          <w:bCs w:val="false"/>
        </w:rPr>
        <w:t xml:space="preserve">Le présent traité propose de prendre au sérieux cette intuition et d’en explorer systématiquement la portée. Il avance l’hypothèse que la réalité peut être lue comme un </w:t>
      </w:r>
      <w:r>
        <w:rPr>
          <w:rStyle w:val="Strong"/>
          <w:b w:val="false"/>
          <w:bCs w:val="false"/>
        </w:rPr>
        <w:t>processus ontodynamique génératif</w:t>
      </w:r>
      <w:r>
        <w:rPr>
          <w:b w:val="false"/>
          <w:bCs w:val="false"/>
        </w:rPr>
        <w:t>, traversé par des flux d’énergie, d’information, de variance et de contrainte, où ce que nous appelons « ordre » apparaît comme une stratégie locale de co-viabilité. Dans cette perspective, toute configuration stabilisée — qu’elle soit cosmologique, organique, cognitive, symbolique ou sociale — est abordée comme un dispositif de régulation : une manière singulière de faire tenir ensemble un flux et une forme.</w:t>
      </w:r>
    </w:p>
    <w:p>
      <w:pPr>
        <w:pStyle w:val="BodyText"/>
        <w:bidi w:val="0"/>
        <w:spacing w:before="0" w:after="283"/>
        <w:jc w:val="start"/>
        <w:rPr>
          <w:b w:val="false"/>
          <w:bCs w:val="false"/>
        </w:rPr>
      </w:pPr>
      <w:r>
        <w:rPr>
          <w:b w:val="false"/>
          <w:bCs w:val="false"/>
        </w:rPr>
        <w:t>Plusieurs travaux majeurs ont déjà ouvert des voies en ce sens : Simondon avec la théorie de l’individuation, Prigogine avec les structures dissipatives, Bohm avec la distinction entre ordre implicite et ordre explicite, Friston avec la minimisation d’énergie libre, sans oublier les approches holographiques et fractales en physique théorique. Chacun de ces cadres propose un morceau de grammaire pour penser un monde de processus et de flux. Aucun ne prétend, ni ne peut prétendre, épuiser à lui seul l’ensemble des domaines concernés.</w:t>
      </w:r>
    </w:p>
    <w:p>
      <w:pPr>
        <w:pStyle w:val="BodyText"/>
        <w:bidi w:val="0"/>
        <w:spacing w:before="0" w:after="283"/>
        <w:jc w:val="start"/>
        <w:rPr/>
      </w:pPr>
      <w:r>
        <w:rPr>
          <w:b w:val="false"/>
          <w:bCs w:val="false"/>
        </w:rPr>
        <w:t xml:space="preserve">Ce traité ne vise pas à combler ce manque par une « théorie de tout ». Il se présente plutôt comme un </w:t>
      </w:r>
      <w:r>
        <w:rPr>
          <w:rStyle w:val="Strong"/>
          <w:b w:val="false"/>
          <w:bCs w:val="false"/>
        </w:rPr>
        <w:t>métamodèle ontodynamique</w:t>
      </w:r>
      <w:r>
        <w:rPr>
          <w:b w:val="false"/>
          <w:bCs w:val="false"/>
        </w:rPr>
        <w:t xml:space="preserve"> : une tentative de mise en cohérence transversale, suffisamment structurée pour dialoguer avec ces travaux, mais suffisamment modeste pour ne pas s’y substituer. Il s’agit d’offrir un cadre conceptuel et formel permettant de </w:t>
      </w:r>
      <w:r>
        <w:rPr>
          <w:rStyle w:val="Strong"/>
          <w:b w:val="false"/>
          <w:bCs w:val="false"/>
        </w:rPr>
        <w:t>relier</w:t>
      </w:r>
      <w:r>
        <w:rPr>
          <w:b w:val="false"/>
          <w:bCs w:val="false"/>
        </w:rPr>
        <w:t>, sans réductionnisme, des dynamiques cosmologiques, biologiques, cognitives, symboliques et institutionnelles, en les lisant sous l’angle de leurs régimes de régulation.</w:t>
      </w:r>
    </w:p>
    <w:p>
      <w:pPr>
        <w:pStyle w:val="BodyText"/>
        <w:bidi w:val="0"/>
        <w:spacing w:before="0" w:after="283"/>
        <w:jc w:val="start"/>
        <w:rPr>
          <w:b w:val="false"/>
          <w:bCs w:val="false"/>
        </w:rPr>
      </w:pPr>
      <w:r>
        <w:rPr>
          <w:b w:val="false"/>
          <w:bCs w:val="false"/>
        </w:rPr>
        <w:t>Ce métamodèle repose sur un principe général, à la fois ontologique et opératoire, formulé ici comme hypothèse de travail :</w:t>
      </w:r>
    </w:p>
    <w:p>
      <w:pPr>
        <w:pStyle w:val="Blocdecitation"/>
        <w:bidi w:val="0"/>
        <w:jc w:val="start"/>
        <w:rPr/>
      </w:pPr>
      <w:r>
        <w:rPr>
          <w:rStyle w:val="Strong"/>
          <w:b w:val="false"/>
          <w:bCs w:val="false"/>
        </w:rPr>
        <w:t>Toute réalité instituée peut être décrite comme le résultat d’une tension organisée entre trois dimensions irréductibles :</w:t>
      </w:r>
      <w:r>
        <w:rPr>
          <w:b w:val="false"/>
          <w:bCs w:val="false"/>
        </w:rPr>
        <w:br/>
        <w:t>(1) une dimension d’</w:t>
      </w:r>
      <w:r>
        <w:rPr>
          <w:rStyle w:val="Strong"/>
          <w:b w:val="false"/>
          <w:bCs w:val="false"/>
        </w:rPr>
        <w:t>arcalité</w:t>
      </w:r>
      <w:r>
        <w:rPr>
          <w:b w:val="false"/>
          <w:bCs w:val="false"/>
        </w:rPr>
        <w:t xml:space="preserve"> — structure, forme, mémoire, contraintes ;</w:t>
        <w:br/>
        <w:t xml:space="preserve">(2) une dimension de </w:t>
      </w:r>
      <w:r>
        <w:rPr>
          <w:rStyle w:val="Strong"/>
          <w:b w:val="false"/>
          <w:bCs w:val="false"/>
        </w:rPr>
        <w:t>cratialité</w:t>
      </w:r>
      <w:r>
        <w:rPr>
          <w:b w:val="false"/>
          <w:bCs w:val="false"/>
        </w:rPr>
        <w:t xml:space="preserve"> — force, activation, intensité, gradients ;</w:t>
        <w:br/>
        <w:t>(3) une dimension d’</w:t>
      </w:r>
      <w:r>
        <w:rPr>
          <w:rStyle w:val="Strong"/>
          <w:b w:val="false"/>
          <w:bCs w:val="false"/>
        </w:rPr>
        <w:t>archicration</w:t>
      </w:r>
      <w:r>
        <w:rPr>
          <w:b w:val="false"/>
          <w:bCs w:val="false"/>
        </w:rPr>
        <w:t xml:space="preserve"> — régulation, ajustement, scénarisation et stabilisation des tensions.</w:t>
      </w:r>
    </w:p>
    <w:p>
      <w:pPr>
        <w:pStyle w:val="BodyText"/>
        <w:bidi w:val="0"/>
        <w:spacing w:before="0" w:after="283"/>
        <w:jc w:val="start"/>
        <w:rPr/>
      </w:pPr>
      <w:r>
        <w:rPr>
          <w:b w:val="false"/>
          <w:bCs w:val="false"/>
        </w:rPr>
        <w:t xml:space="preserve">Ce triptyque, qui structure l’ensemble du traité, ne doit pas être entendu comme une loi universelle démontrée, mais comme une </w:t>
      </w:r>
      <w:r>
        <w:rPr>
          <w:rStyle w:val="Strong"/>
          <w:b w:val="false"/>
          <w:bCs w:val="false"/>
        </w:rPr>
        <w:t>structure de lecture</w:t>
      </w:r>
      <w:r>
        <w:rPr>
          <w:b w:val="false"/>
          <w:bCs w:val="false"/>
        </w:rPr>
        <w:t xml:space="preserve"> : un motif de décomposition des situations, que l’on peut mettre à l’épreuve dans des domaines très divers. Nous proposerons de reconnaître des variantes de ce motif dans les logiques de formation des galaxies spirales et des systèmes thermodynamiques hors équilibre, dans les organismes vivants et les dynamiques cognitives, dans les réseaux sociaux et les institutions politiques, dans les symboles, les récits, les artefacts et les pratiques culturelles.</w:t>
      </w:r>
    </w:p>
    <w:p>
      <w:pPr>
        <w:pStyle w:val="BodyText"/>
        <w:bidi w:val="0"/>
        <w:spacing w:before="0" w:after="283"/>
        <w:jc w:val="start"/>
        <w:rPr/>
      </w:pPr>
      <w:r>
        <w:rPr>
          <w:b w:val="false"/>
          <w:bCs w:val="false"/>
        </w:rPr>
        <w:t xml:space="preserve">Le réel n’est pas unifié par ses formes : il peut être abordé comme unifié par sa </w:t>
      </w:r>
      <w:r>
        <w:rPr>
          <w:rStyle w:val="Strong"/>
          <w:b w:val="false"/>
          <w:bCs w:val="false"/>
        </w:rPr>
        <w:t>logique de formation</w:t>
      </w:r>
      <w:r>
        <w:rPr>
          <w:b w:val="false"/>
          <w:bCs w:val="false"/>
        </w:rPr>
        <w:t>.</w:t>
      </w:r>
    </w:p>
    <w:p>
      <w:pPr>
        <w:pStyle w:val="BodyText"/>
        <w:bidi w:val="0"/>
        <w:spacing w:before="0" w:after="283"/>
        <w:jc w:val="start"/>
        <w:rPr/>
      </w:pPr>
      <w:r>
        <w:rPr>
          <w:b w:val="false"/>
          <w:bCs w:val="false"/>
        </w:rPr>
        <w:t xml:space="preserve">C’est ici qu’intervient l’archicratie. Dans l’essai-thèse qui lui est consacré, elle désigne un paradigme de lecture et de régulation des tensions sociales et politiques, fondé sur l’analyse des scènes où se rencontrent des arcalités (formes instituées), des cratialités (forces agissantes) et des archicrations (dispositifs régulateurs). Dans le présent traité, nous étendons cette notion à titre de </w:t>
      </w:r>
      <w:r>
        <w:rPr>
          <w:rStyle w:val="Strong"/>
          <w:b w:val="false"/>
          <w:bCs w:val="false"/>
        </w:rPr>
        <w:t>principe génératif</w:t>
      </w:r>
      <w:r>
        <w:rPr>
          <w:b w:val="false"/>
          <w:bCs w:val="false"/>
        </w:rPr>
        <w:t>, en la définissant comme le mode selon lequel une configuration — physique, organique, mentale, sociale ou cosmique — devient viable, c’est-à-dire capable d’absorber, de redistribuer, de dissiper ou de convertir les flux qui la traversent.</w:t>
      </w:r>
    </w:p>
    <w:p>
      <w:pPr>
        <w:pStyle w:val="BodyText"/>
        <w:bidi w:val="0"/>
        <w:spacing w:before="0" w:after="283"/>
        <w:jc w:val="start"/>
        <w:rPr/>
      </w:pPr>
      <w:r>
        <w:rPr>
          <w:b w:val="false"/>
          <w:bCs w:val="false"/>
        </w:rPr>
        <w:t xml:space="preserve">Nous appellerons ainsi archicratie, en un sens généralisé, le </w:t>
      </w:r>
      <w:r>
        <w:rPr>
          <w:rStyle w:val="Strong"/>
          <w:b w:val="false"/>
          <w:bCs w:val="false"/>
        </w:rPr>
        <w:t>méta-régime d’ordre</w:t>
      </w:r>
      <w:r>
        <w:rPr>
          <w:b w:val="false"/>
          <w:bCs w:val="false"/>
        </w:rPr>
        <w:t xml:space="preserve"> par lequel des arcalités (formes) composent avec des cratialités (forces) pour produire des régimes de co-viabilité. Il ne s’agit ni d’un régime de gouvernement parmi d’autres, ni d’une simple analogie : mais d’un principe d’intelligibilité qui permet de comparer des régimes d’ordre hétérogènes, du système cellulaire à l’institution politique, sans les confondre.</w:t>
      </w:r>
    </w:p>
    <w:p>
      <w:pPr>
        <w:pStyle w:val="BodyText"/>
        <w:bidi w:val="0"/>
        <w:spacing w:before="0" w:after="283"/>
        <w:jc w:val="start"/>
        <w:rPr>
          <w:b w:val="false"/>
          <w:bCs w:val="false"/>
        </w:rPr>
      </w:pPr>
      <w:r>
        <w:rPr>
          <w:b w:val="false"/>
          <w:bCs w:val="false"/>
        </w:rPr>
        <w:t>L’ambition du traité est donc double :</w:t>
      </w:r>
    </w:p>
    <w:p>
      <w:pPr>
        <w:pStyle w:val="BodyText"/>
        <w:numPr>
          <w:ilvl w:val="0"/>
          <w:numId w:val="2"/>
        </w:numPr>
        <w:tabs>
          <w:tab w:val="left" w:pos="1418" w:leader="none"/>
        </w:tabs>
        <w:bidi w:val="0"/>
        <w:spacing w:before="0" w:after="283"/>
        <w:ind w:hanging="283" w:start="709"/>
        <w:jc w:val="start"/>
        <w:rPr/>
      </w:pPr>
      <w:r>
        <w:rPr>
          <w:b w:val="false"/>
          <w:bCs w:val="false"/>
        </w:rPr>
        <w:t xml:space="preserve">Proposer une </w:t>
      </w:r>
      <w:r>
        <w:rPr>
          <w:rStyle w:val="Strong"/>
          <w:b w:val="false"/>
          <w:bCs w:val="false"/>
        </w:rPr>
        <w:t>théorie ontodynamique de type unifié</w:t>
      </w:r>
      <w:r>
        <w:rPr>
          <w:b w:val="false"/>
          <w:bCs w:val="false"/>
        </w:rPr>
        <w:t xml:space="preserve">, non au sens d’une loi unique du réel, mais au sens d’un </w:t>
      </w:r>
      <w:r>
        <w:rPr>
          <w:rStyle w:val="Strong"/>
          <w:b w:val="false"/>
          <w:bCs w:val="false"/>
        </w:rPr>
        <w:t>cadre formel commun</w:t>
      </w:r>
      <w:r>
        <w:rPr>
          <w:b w:val="false"/>
          <w:bCs w:val="false"/>
        </w:rPr>
        <w:t xml:space="preserve"> pour penser l’émergence, l’évolution, l’ajustement et la régulation des formes dans un univers fondamentalement dynamique.</w:t>
      </w:r>
    </w:p>
    <w:p>
      <w:pPr>
        <w:pStyle w:val="BodyText"/>
        <w:numPr>
          <w:ilvl w:val="0"/>
          <w:numId w:val="2"/>
        </w:numPr>
        <w:tabs>
          <w:tab w:val="left" w:pos="1418" w:leader="none"/>
        </w:tabs>
        <w:bidi w:val="0"/>
        <w:spacing w:before="0" w:after="283"/>
        <w:ind w:hanging="283" w:start="709"/>
        <w:jc w:val="start"/>
        <w:rPr>
          <w:b w:val="false"/>
          <w:bCs w:val="false"/>
        </w:rPr>
      </w:pPr>
      <w:r>
        <w:rPr>
          <w:b w:val="false"/>
          <w:bCs w:val="false"/>
        </w:rPr>
        <w:t>Montrer comment ce cadre peut éclairer, par des déclinaisons spécifiques, la formation des structures cosmiques, les processus cognitifs, l’organisation du vivant, les dynamiques sociales, les architectures symboliques, les systèmes politiques et les phénomènes de signification, en dialogue avec les théories existantes.</w:t>
      </w:r>
    </w:p>
    <w:p>
      <w:pPr>
        <w:pStyle w:val="BodyText"/>
        <w:bidi w:val="0"/>
        <w:spacing w:before="0" w:after="283"/>
        <w:jc w:val="start"/>
        <w:rPr/>
      </w:pPr>
      <w:r>
        <w:rPr>
          <w:b w:val="false"/>
          <w:bCs w:val="false"/>
        </w:rPr>
        <w:t xml:space="preserve">Cette unification reste volontairement </w:t>
      </w:r>
      <w:r>
        <w:rPr>
          <w:rStyle w:val="Strong"/>
          <w:b w:val="false"/>
          <w:bCs w:val="false"/>
        </w:rPr>
        <w:t>méta-théorique</w:t>
      </w:r>
      <w:r>
        <w:rPr>
          <w:b w:val="false"/>
          <w:bCs w:val="false"/>
        </w:rPr>
        <w:t>. Elle exige une formalisation suffisamment rigoureuse pour ne pas se réduire à une métaphore vague, mais suffisamment souple pour accueillir des contenus disciplinaires hétérogènes. C’est pourquoi le traité propose :</w:t>
      </w:r>
    </w:p>
    <w:p>
      <w:pPr>
        <w:pStyle w:val="BodyText"/>
        <w:numPr>
          <w:ilvl w:val="0"/>
          <w:numId w:val="3"/>
        </w:numPr>
        <w:bidi w:val="0"/>
        <w:spacing w:before="0" w:after="283"/>
        <w:jc w:val="start"/>
        <w:rPr>
          <w:b w:val="false"/>
          <w:bCs w:val="false"/>
        </w:rPr>
      </w:pPr>
      <w:r>
        <w:rPr>
          <w:b w:val="false"/>
          <w:bCs w:val="false"/>
        </w:rPr>
        <w:t>des axiomes ontogénétiques explicites ;</w:t>
      </w:r>
    </w:p>
    <w:p>
      <w:pPr>
        <w:pStyle w:val="BodyText"/>
        <w:numPr>
          <w:ilvl w:val="0"/>
          <w:numId w:val="3"/>
        </w:numPr>
        <w:bidi w:val="0"/>
        <w:spacing w:before="0" w:after="283"/>
        <w:jc w:val="start"/>
        <w:rPr>
          <w:b w:val="false"/>
          <w:bCs w:val="false"/>
        </w:rPr>
      </w:pPr>
      <w:r>
        <w:rPr>
          <w:b w:val="false"/>
          <w:bCs w:val="false"/>
        </w:rPr>
        <w:t>des opérateurs fondamentaux (flux, stabilisation, activation, transduction) définis à un niveau formel ;</w:t>
      </w:r>
    </w:p>
    <w:p>
      <w:pPr>
        <w:pStyle w:val="BodyText"/>
        <w:numPr>
          <w:ilvl w:val="0"/>
          <w:numId w:val="3"/>
        </w:numPr>
        <w:bidi w:val="0"/>
        <w:spacing w:before="0" w:after="283"/>
        <w:jc w:val="start"/>
        <w:rPr>
          <w:b w:val="false"/>
          <w:bCs w:val="false"/>
        </w:rPr>
      </w:pPr>
      <w:r>
        <w:rPr>
          <w:b w:val="false"/>
          <w:bCs w:val="false"/>
        </w:rPr>
        <w:t>une explicitation d’invariances multi-échelles, entendues comme invariances de description pour des systèmes viables ;</w:t>
      </w:r>
    </w:p>
    <w:p>
      <w:pPr>
        <w:pStyle w:val="BodyText"/>
        <w:numPr>
          <w:ilvl w:val="0"/>
          <w:numId w:val="3"/>
        </w:numPr>
        <w:bidi w:val="0"/>
        <w:spacing w:before="0" w:after="283"/>
        <w:jc w:val="start"/>
        <w:rPr>
          <w:b w:val="false"/>
          <w:bCs w:val="false"/>
        </w:rPr>
      </w:pPr>
      <w:r>
        <w:rPr>
          <w:b w:val="false"/>
          <w:bCs w:val="false"/>
        </w:rPr>
        <w:t>une théorie des régimes d’ordre ;</w:t>
      </w:r>
    </w:p>
    <w:p>
      <w:pPr>
        <w:pStyle w:val="BodyText"/>
        <w:numPr>
          <w:ilvl w:val="0"/>
          <w:numId w:val="3"/>
        </w:numPr>
        <w:bidi w:val="0"/>
        <w:spacing w:before="0" w:after="283"/>
        <w:jc w:val="start"/>
        <w:rPr>
          <w:b w:val="false"/>
          <w:bCs w:val="false"/>
        </w:rPr>
      </w:pPr>
      <w:r>
        <w:rPr>
          <w:b w:val="false"/>
          <w:bCs w:val="false"/>
        </w:rPr>
        <w:t>et une articulation transdisciplinaire allant de la cosmologie à la sémiotique, en passant par la cognition et la politique.</w:t>
      </w:r>
    </w:p>
    <w:p>
      <w:pPr>
        <w:pStyle w:val="BodyText"/>
        <w:bidi w:val="0"/>
        <w:spacing w:before="0" w:after="283"/>
        <w:jc w:val="start"/>
        <w:rPr/>
      </w:pPr>
      <w:r>
        <w:rPr>
          <w:b w:val="false"/>
          <w:bCs w:val="false"/>
        </w:rPr>
        <w:t xml:space="preserve">Dans ce cadre, la distinction arcalité / cratialité / archicration n’est pas un simple découpage conceptuel. Elle est proposée comme </w:t>
      </w:r>
      <w:r>
        <w:rPr>
          <w:rStyle w:val="Strong"/>
          <w:b w:val="false"/>
          <w:bCs w:val="false"/>
        </w:rPr>
        <w:t>structure transductive</w:t>
      </w:r>
      <w:r>
        <w:rPr>
          <w:b w:val="false"/>
          <w:bCs w:val="false"/>
        </w:rPr>
        <w:t xml:space="preserve"> : chaque dimension appelle, conditionne et transforme les deux autres. Rien n’est simplement donné : tout est en devenir, tout est tension, toute stabilité observable étant interprétée comme une forme particulière d’équilibre dynamique.</w:t>
      </w:r>
    </w:p>
    <w:p>
      <w:pPr>
        <w:pStyle w:val="BodyText"/>
        <w:bidi w:val="0"/>
        <w:spacing w:before="0" w:after="283"/>
        <w:jc w:val="start"/>
        <w:rPr/>
      </w:pPr>
      <w:r>
        <w:rPr>
          <w:b w:val="false"/>
          <w:bCs w:val="false"/>
        </w:rPr>
        <w:t xml:space="preserve">Ce traité n’entend ni remplacer les sciences établies, ni instaurer une nouvelle métaphysique totalisante. Il propose un </w:t>
      </w:r>
      <w:r>
        <w:rPr>
          <w:rStyle w:val="Strong"/>
          <w:b w:val="false"/>
          <w:bCs w:val="false"/>
        </w:rPr>
        <w:t>cadre opératoire</w:t>
      </w:r>
      <w:r>
        <w:rPr>
          <w:b w:val="false"/>
          <w:bCs w:val="false"/>
        </w:rPr>
        <w:t xml:space="preserve">, un </w:t>
      </w:r>
      <w:r>
        <w:rPr>
          <w:rStyle w:val="Strong"/>
          <w:b w:val="false"/>
          <w:bCs w:val="false"/>
        </w:rPr>
        <w:t>méta-modèle de compréhension du réel</w:t>
      </w:r>
      <w:r>
        <w:rPr>
          <w:b w:val="false"/>
          <w:bCs w:val="false"/>
        </w:rPr>
        <w:t>, susceptible d’héberger des théories existantes en les réinscrivant dans une dynamique commune : celle de l’</w:t>
      </w:r>
      <w:r>
        <w:rPr>
          <w:b w:val="false"/>
          <w:bCs w:val="false"/>
          <w:i/>
          <w:iCs/>
        </w:rPr>
        <w:t>ontodynamique générative</w:t>
      </w:r>
      <w:r>
        <w:rPr>
          <w:b w:val="false"/>
          <w:bCs w:val="false"/>
        </w:rPr>
        <w:t xml:space="preserve">. À ce titre, il doit être lu comme un </w:t>
      </w:r>
      <w:r>
        <w:rPr>
          <w:rStyle w:val="Strong"/>
          <w:b w:val="false"/>
          <w:bCs w:val="false"/>
        </w:rPr>
        <w:t>programme de recherche</w:t>
      </w:r>
      <w:r>
        <w:rPr>
          <w:b w:val="false"/>
          <w:bCs w:val="false"/>
        </w:rPr>
        <w:t>, discutable et amendable, autant que comme un essai de systématisation des intuitions qui traversent déjà, de manière dispersée, de nombreuses sciences du réel.</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1"/>
    <w:family w:val="auto"/>
    <w:pitch w:val="variable"/>
  </w:font>
  <w:font w:name="Wingdings">
    <w:charset w:val="01"/>
    <w:family w:val="auto"/>
    <w:pitch w:val="variable"/>
  </w:font>
  <w:font w:name="Wingdings 2">
    <w:charset w:val="01"/>
    <w:family w:val="auto"/>
    <w:pitch w:val="variable"/>
  </w:font>
  <w:font w:name="MT Extra">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2" w:hAnsi="Wingdings 2" w:cs="Wingdings 2" w:hint="default"/>
      </w:rPr>
    </w:lvl>
    <w:lvl w:ilvl="3">
      <w:start w:val="1"/>
      <w:numFmt w:val="bullet"/>
      <w:lvlText w:val=""/>
      <w:lvlJc w:val="start"/>
      <w:pPr>
        <w:tabs>
          <w:tab w:val="num" w:pos="1800"/>
        </w:tabs>
        <w:ind w:start="1800" w:hanging="360"/>
      </w:pPr>
      <w:rPr>
        <w:rFonts w:ascii="MT Extra" w:hAnsi="MT Extra" w:cs="MT Extra"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OpenSymbol" w:hAnsi="OpenSymbol" w:cs="Open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8"/>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fr-FR" w:eastAsia="zh-CN" w:bidi="hi-IN"/>
    </w:rPr>
  </w:style>
  <w:style w:type="paragraph" w:styleId="Heading1">
    <w:name w:val="heading 1"/>
    <w:basedOn w:val="Titre"/>
    <w:next w:val="BodyText"/>
    <w:qFormat/>
    <w:pPr>
      <w:numPr>
        <w:ilvl w:val="0"/>
        <w:numId w:val="0"/>
      </w:numPr>
      <w:spacing w:before="240" w:after="120"/>
      <w:outlineLvl w:val="0"/>
    </w:pPr>
    <w:rPr>
      <w:rFonts w:ascii="Liberation Serif" w:hAnsi="Liberation Serif" w:eastAsia="Songti SC" w:cs="Arial Unicode MS"/>
      <w:b/>
      <w:bCs/>
      <w:sz w:val="48"/>
      <w:szCs w:val="48"/>
    </w:rPr>
  </w:style>
  <w:style w:type="character" w:styleId="Strong">
    <w:name w:val="Strong"/>
    <w:qFormat/>
    <w:rPr>
      <w:b/>
      <w:bCs/>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locdecitation">
    <w:name w:val="Bloc de citation"/>
    <w:basedOn w:val="Normal"/>
    <w:qFormat/>
    <w:pPr>
      <w:spacing w:before="0" w:after="283"/>
      <w:ind w:hanging="0" w:start="567" w:end="567"/>
    </w:pPr>
    <w:rPr/>
  </w:style>
  <w:style w:type="paragraph" w:styleId="Title">
    <w:name w:val="Title"/>
    <w:basedOn w:val="Titre"/>
    <w:next w:val="BodyText"/>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LibreOffice/25.8.2.2$MacOSX_AARCH64 LibreOffice_project/d401f2107ccab8f924a8e2df40f573aab7605b6f</Application>
  <AppVersion>15.0000</AppVersion>
  <Pages>3</Pages>
  <Words>1036</Words>
  <Characters>6178</Characters>
  <CharactersWithSpaces>7195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2026-01-26T11:55:33Z</dcterms:created>
  <dc:creator/>
  <dc:description/>
  <dc:language>fr-FR</dc:language>
  <cp:lastModifiedBy/>
  <dcterms:modified xsi:type="dcterms:W3CDTF">2026-01-26T11:57:03Z</dcterms:modified>
  <cp:revision>1</cp:revision>
  <dc:subject/>
  <dc:title/>
</cp:coreProperties>
</file>