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Heading1"/>
      </w:pPr>
      <w:r>
        <w:t xml:space="preserve">Prologue — Fondation, finalité sociopolitique et historique</w:t>
      </w:r>
    </w:p>
    <w:p>
      <w:pPr>
        <w:pStyle w:val="BodyText"/>
      </w:pPr>
      <w:r>
        <w:t xml:space="preserve">Nous vivons une époque saturée de diagnostics sur les formes de domination, les mutations du pouvoir, les détournements de la souveraineté. Depuis une vingtaine d’années, les appellations s’accumulent :</w:t>
      </w:r>
      <w:r>
        <w:t xml:space="preserve"> </w:t>
      </w:r>
      <w:r>
        <w:rPr>
          <w:i/>
          <w:iCs/>
        </w:rPr>
        <w:t xml:space="preserve">démocratie illibérale</w:t>
      </w:r>
      <w:r>
        <w:t xml:space="preserve">,</w:t>
      </w:r>
      <w:r>
        <w:t xml:space="preserve"> </w:t>
      </w:r>
      <w:r>
        <w:rPr>
          <w:i/>
          <w:iCs/>
        </w:rPr>
        <w:t xml:space="preserve">ploutocratie</w:t>
      </w:r>
      <w:r>
        <w:t xml:space="preserve">,</w:t>
      </w:r>
      <w:r>
        <w:t xml:space="preserve"> </w:t>
      </w:r>
      <w:r>
        <w:rPr>
          <w:i/>
          <w:iCs/>
        </w:rPr>
        <w:t xml:space="preserve">happycratie</w:t>
      </w:r>
      <w:r>
        <w:t xml:space="preserve">,</w:t>
      </w:r>
      <w:r>
        <w:t xml:space="preserve"> </w:t>
      </w:r>
      <w:r>
        <w:rPr>
          <w:i/>
          <w:iCs/>
        </w:rPr>
        <w:t xml:space="preserve">gouvernement algorithmique</w:t>
      </w:r>
      <w:r>
        <w:t xml:space="preserve">,</w:t>
      </w:r>
      <w:r>
        <w:t xml:space="preserve"> </w:t>
      </w:r>
      <w:r>
        <w:rPr>
          <w:i/>
          <w:iCs/>
        </w:rPr>
        <w:t xml:space="preserve">démocrature</w:t>
      </w:r>
      <w:r>
        <w:t xml:space="preserve">… À travers ces tentatives de nommer le désordre du présent, un fait se répète, de manière sourde : la scène politique semble désorientée. Les catégories héritées —</w:t>
      </w:r>
      <w:r>
        <w:t xml:space="preserve"> </w:t>
      </w:r>
      <w:r>
        <w:rPr>
          <w:i/>
          <w:iCs/>
        </w:rPr>
        <w:t xml:space="preserve">État</w:t>
      </w:r>
      <w:r>
        <w:t xml:space="preserve">,</w:t>
      </w:r>
      <w:r>
        <w:t xml:space="preserve"> </w:t>
      </w:r>
      <w:r>
        <w:rPr>
          <w:i/>
          <w:iCs/>
        </w:rPr>
        <w:t xml:space="preserve">pouvoir</w:t>
      </w:r>
      <w:r>
        <w:t xml:space="preserve">,</w:t>
      </w:r>
      <w:r>
        <w:t xml:space="preserve"> </w:t>
      </w:r>
      <w:r>
        <w:rPr>
          <w:i/>
          <w:iCs/>
        </w:rPr>
        <w:t xml:space="preserve">représentation</w:t>
      </w:r>
      <w:r>
        <w:t xml:space="preserve">,</w:t>
      </w:r>
      <w:r>
        <w:t xml:space="preserve"> </w:t>
      </w:r>
      <w:r>
        <w:rPr>
          <w:i/>
          <w:iCs/>
        </w:rPr>
        <w:t xml:space="preserve">volonté générale</w:t>
      </w:r>
      <w:r>
        <w:t xml:space="preserve">,</w:t>
      </w:r>
      <w:r>
        <w:t xml:space="preserve"> </w:t>
      </w:r>
      <w:r>
        <w:rPr>
          <w:i/>
          <w:iCs/>
        </w:rPr>
        <w:t xml:space="preserve">contrat social</w:t>
      </w:r>
      <w:r>
        <w:t xml:space="preserve"> </w:t>
      </w:r>
      <w:r>
        <w:t xml:space="preserve">— apparaissent de moins en moins capables de décrire ce qui nous gouverne effectivement.</w:t>
      </w:r>
    </w:p>
    <w:p>
      <w:pPr>
        <w:pStyle w:val="BodyText"/>
      </w:pPr>
      <w:r>
        <w:t xml:space="preserve">C’est cette perte de prise sur le réel que ce livre souhaite prendre au sérieux. Non pour lui ajouter un terme de plus au lexique fatigué des contre-pouvoirs ou des impuissances, mais pour repartir d’un point plus fondamental, presque en-deçà de la question politique classique. Ce point, c’est celui de la</w:t>
      </w:r>
      <w:r>
        <w:t xml:space="preserve"> </w:t>
      </w:r>
      <w:r>
        <w:rPr>
          <w:i/>
          <w:iCs/>
        </w:rPr>
        <w:t xml:space="preserve">tenue d’un monde commun</w:t>
      </w:r>
      <w:r>
        <w:t xml:space="preserve"> </w:t>
      </w:r>
      <w:r>
        <w:t xml:space="preserve">— c’est-à-dire la possibilité, pour des êtres dissemblables, vulnérables, inégaux, traversés de contradictions et situés dans des temporalités hétérogènes, de coexister sans s’annihiler.</w:t>
      </w:r>
    </w:p>
    <w:p>
      <w:pPr>
        <w:pStyle w:val="BodyText"/>
      </w:pPr>
      <w:r>
        <w:t xml:space="preserve">Il ne s’agit pas, pour autant, de substituer à la théorie politique classique une clé universelle qui prétendrait tout absorber. Le déplacement proposé ici a une portée plus précise : rendre plus lisibles certaines configurations où les catégories héritées — pouvoir, souveraineté, représentation, gouvernement — décrivent encore des formes, mais n’éclairent plus suffisamment les conditions effectives de la régulation. Là où ce déplacement n’apporte aucun gain réel d’intelligibilité, il doit rester secondaire, voire s’effacer.</w:t>
      </w:r>
    </w:p>
    <w:p>
      <w:pPr>
        <w:pStyle w:val="BodyText"/>
      </w:pPr>
      <w:r>
        <w:t xml:space="preserve">Cette tenue du monde n’équivaut ni à la paix civile, ni à la stabilité des institutions, ni à l’ordre établi. C’est une difficulté conceptuelle que d’envisager</w:t>
      </w:r>
      <w:r>
        <w:t xml:space="preserve"> </w:t>
      </w:r>
      <w:r>
        <w:rPr>
          <w:i/>
          <w:iCs/>
        </w:rPr>
        <w:t xml:space="preserve">la possibilité pour un ordre de durer sans s’effondrer</w:t>
      </w:r>
      <w:r>
        <w:t xml:space="preserve">, alors même qu’il est traversé en permanence par des forces et des légitimités qui le travaillent, l’éprouvent, le modifient, l’usent, le contestent, le prolongent ou le sapent. Cette possibilité de tenir le monde commun, nous la nommons</w:t>
      </w:r>
      <w:r>
        <w:t xml:space="preserve"> </w:t>
      </w:r>
      <w:r>
        <w:rPr>
          <w:i/>
          <w:iCs/>
        </w:rPr>
        <w:t xml:space="preserve">co-viabilité</w:t>
      </w:r>
      <w:r>
        <w:t xml:space="preserve">.</w:t>
      </w:r>
    </w:p>
    <w:p>
      <w:pPr>
        <w:pStyle w:val="BodyText"/>
      </w:pPr>
      <w:r>
        <w:t xml:space="preserve">Le terme n’est pas trivial. Il ne désigne ni une simple viabilité partagée, ni une coexistence pacifiée, ni une durabilité écologique élargie. Il renvoie à la possibilité, toujours fragile, pour un monde hétérogène de maintenir une existence viable en travaillant, sans les abolir, les tensions qui le traversent.</w:t>
      </w:r>
    </w:p>
    <w:p>
      <w:pPr>
        <w:pStyle w:val="BodyText"/>
      </w:pPr>
      <w:r>
        <w:t xml:space="preserve">La</w:t>
      </w:r>
      <w:r>
        <w:t xml:space="preserve"> </w:t>
      </w:r>
      <w:r>
        <w:rPr>
          <w:i/>
          <w:iCs/>
        </w:rPr>
        <w:t xml:space="preserve">co-viabilité</w:t>
      </w:r>
      <w:r>
        <w:t xml:space="preserve"> </w:t>
      </w:r>
      <w:r>
        <w:t xml:space="preserve">ne désigne ni un état d’équilibre, ni une finalité normative. Elle nomme un état dynamique et instable, dans lequel un ensemble — une société, un système biologique, une formation historique, un milieu technique ou un monde institué — tient non pas par homogénéité ou harmonie, mais parce qu’il parvient à réguler ce qui le menace sans se détruire lui-même. Il compose entre des éléments hétérogènes — forces d’inertie et d’innovation, attachements profonds et ruptures nécessaires — sans chercher à les unifier. C’est cette disposition active, faite de compromis fragiles et d’ajustements toujours révisables, que nous tenons pour première, et non dérivée.</w:t>
      </w:r>
    </w:p>
    <w:p>
      <w:pPr>
        <w:pStyle w:val="BodyText"/>
      </w:pPr>
      <w:r>
        <w:t xml:space="preserve">Ce déplacement conduit à rehiérarchiser la question politique elle-même. Nous ne nous limiterons pas à demander qui commande ou qui gouverne, mais chercherons à comprendre comment un ordre tient malgré ce qui le travaille, le conteste, l’use ou le défait. La question du commandement ne disparaît pas ; elle cesse d’être suffisante dès lors que les prises réelles de la régulation se distribuent dans des agencements, des temporalités, des médiations et des scènes d’épreuve qui excèdent les figures classiques du pouvoir. Et surtout nous interrogerons :</w:t>
      </w:r>
      <w:r>
        <w:t xml:space="preserve"> </w:t>
      </w:r>
      <w:r>
        <w:rPr>
          <w:i/>
          <w:iCs/>
        </w:rPr>
        <w:t xml:space="preserve">Quels sont les dispositifs qui permettent à une société de ne pas se désagréger sous l’effet de ses propres contradictions ?</w:t>
      </w:r>
    </w:p>
    <w:p>
      <w:pPr>
        <w:pStyle w:val="BodyText"/>
      </w:pPr>
      <w:r>
        <w:t xml:space="preserve">Cette bascule de perspective prolonge des intuitions anciennes. Max Weber (</w:t>
      </w:r>
      <w:r>
        <w:rPr>
          <w:i/>
          <w:iCs/>
        </w:rPr>
        <w:t xml:space="preserve">Économie et société</w:t>
      </w:r>
      <w:r>
        <w:t xml:space="preserve">, 1922) rappelait que ce qui fait tenir un ordre, ce n’est pas seulement la force ou la loi, mais les « chances de validité » socialement reconnues. Norbert Elias (</w:t>
      </w:r>
      <w:r>
        <w:rPr>
          <w:i/>
          <w:iCs/>
        </w:rPr>
        <w:t xml:space="preserve">La dynamique de l’Occident</w:t>
      </w:r>
      <w:r>
        <w:t xml:space="preserve">, 1939/1975) montrait, quant à lui, que les sociétés se maintiennent par des équilibres toujours précaires entre interdépendances, rivalités et pacifications. Notre démarche s’inscrit dans ce sillage : travailler cette interrogation sur les</w:t>
      </w:r>
      <w:r>
        <w:t xml:space="preserve"> </w:t>
      </w:r>
      <w:r>
        <w:rPr>
          <w:i/>
          <w:iCs/>
        </w:rPr>
        <w:t xml:space="preserve">conditions de viabilité d’un monde commun</w:t>
      </w:r>
      <w:r>
        <w:t xml:space="preserve">.</w:t>
      </w:r>
    </w:p>
    <w:p>
      <w:pPr>
        <w:pStyle w:val="BodyText"/>
      </w:pPr>
      <w:r>
        <w:t xml:space="preserve">Ce changement de perspective implique une rupture profonde dans la manière même de poser la question politique. Pendant des siècles, les sociétés ont pensé le politique à partir de principes transcendants — Dieu, Nature, Volonté générale, Pacte social. Ces principes, supposés extérieurs aux conflits du présent, garantissaient l’ordre en surplomb. Comme le rappelle Michel Foucault, il n’y a pas de principe extérieur au jeu des forces : seulement des rapports de pouvoir situés, modulés, réversibles. C’est précisément cette exigence — trouver dans les relations elles-mêmes les ressources nécessaires pour maintenir des mondes vivables — qui définit notre époque.</w:t>
      </w:r>
    </w:p>
    <w:p>
      <w:pPr>
        <w:pStyle w:val="BodyText"/>
      </w:pPr>
      <w:r>
        <w:t xml:space="preserve">Ce qui émerge, ce ne sont pas de nouveaux principes ni une nouvelle idéologie, mais une exigence beaucoup plus modeste, et aussi beaucoup plus difficile à satisfaire : celle de trouver dans les relations elles-mêmes — entre groupes, entre institutions, entre individus, entre temporalités — les ressources nécessaires pour maintenir leurs mondes viables. Autrement dit : c’est</w:t>
      </w:r>
      <w:r>
        <w:t xml:space="preserve"> </w:t>
      </w:r>
      <w:r>
        <w:rPr>
          <w:i/>
          <w:iCs/>
        </w:rPr>
        <w:t xml:space="preserve">dans</w:t>
      </w:r>
      <w:r>
        <w:t xml:space="preserve"> </w:t>
      </w:r>
      <w:r>
        <w:t xml:space="preserve">les tensions,</w:t>
      </w:r>
      <w:r>
        <w:t xml:space="preserve"> </w:t>
      </w:r>
      <w:r>
        <w:rPr>
          <w:i/>
          <w:iCs/>
        </w:rPr>
        <w:t xml:space="preserve">à même</w:t>
      </w:r>
      <w:r>
        <w:t xml:space="preserve"> </w:t>
      </w:r>
      <w:r>
        <w:t xml:space="preserve">les conflits,</w:t>
      </w:r>
      <w:r>
        <w:t xml:space="preserve"> </w:t>
      </w:r>
      <w:r>
        <w:rPr>
          <w:i/>
          <w:iCs/>
        </w:rPr>
        <w:t xml:space="preserve">au sein</w:t>
      </w:r>
      <w:r>
        <w:t xml:space="preserve"> </w:t>
      </w:r>
      <w:r>
        <w:t xml:space="preserve">des alliances,</w:t>
      </w:r>
      <w:r>
        <w:t xml:space="preserve"> </w:t>
      </w:r>
      <w:r>
        <w:rPr>
          <w:i/>
          <w:iCs/>
        </w:rPr>
        <w:t xml:space="preserve">au cœur</w:t>
      </w:r>
      <w:r>
        <w:t xml:space="preserve"> </w:t>
      </w:r>
      <w:r>
        <w:t xml:space="preserve">des désaccords et des polémiques, que semble se construire la régulation. Non plus</w:t>
      </w:r>
      <w:r>
        <w:t xml:space="preserve"> </w:t>
      </w:r>
      <w:r>
        <w:rPr>
          <w:i/>
          <w:iCs/>
        </w:rPr>
        <w:t xml:space="preserve">au-dessus</w:t>
      </w:r>
      <w:r>
        <w:t xml:space="preserve">, par un décret transcendant, mais</w:t>
      </w:r>
      <w:r>
        <w:t xml:space="preserve"> </w:t>
      </w:r>
      <w:r>
        <w:rPr>
          <w:i/>
          <w:iCs/>
        </w:rPr>
        <w:t xml:space="preserve">au-dedans</w:t>
      </w:r>
      <w:r>
        <w:t xml:space="preserve">, par un agencement toujours révisable. C’est cela que nous voulons dire — sans technicité inutile — quand nous parlons d’un déplacement vers une</w:t>
      </w:r>
      <w:r>
        <w:t xml:space="preserve"> </w:t>
      </w:r>
      <w:r>
        <w:rPr>
          <w:i/>
          <w:iCs/>
        </w:rPr>
        <w:t xml:space="preserve">instance de régulation située de co-viabilité</w:t>
      </w:r>
      <w:r>
        <w:t xml:space="preserve"> </w:t>
      </w:r>
      <w:r>
        <w:t xml:space="preserve">: un espace commun où les forces hétérogènes, souvent antagonistes, peuvent coexister, se contredire, se confronter, s’éprouver, sans se détruire mutuellement.</w:t>
      </w:r>
    </w:p>
    <w:p>
      <w:pPr>
        <w:pStyle w:val="BodyText"/>
      </w:pPr>
      <w:r>
        <w:t xml:space="preserve">Penser le politique depuis cette approche, c’est renoncer à l’idée même qu’un ordre puisse se fonder définitivement, une fois pour toutes. C’est reconnaître que ce qui fait tenir une société n’est jamais un principe unique, un commandement souverain, une légitimité première, mais</w:t>
      </w:r>
      <w:r>
        <w:t xml:space="preserve"> </w:t>
      </w:r>
      <w:r>
        <w:rPr>
          <w:i/>
          <w:iCs/>
        </w:rPr>
        <w:t xml:space="preserve">un espace d’épreuve toujours rejoué</w:t>
      </w:r>
      <w:r>
        <w:t xml:space="preserve"> </w:t>
      </w:r>
      <w:r>
        <w:t xml:space="preserve">où se négocient, se recadrent, s’opposent, s’ajustent des forces hétérogènes dont l’accord est constamment partiel, toujours temporaire, perpétuellement instable.</w:t>
      </w:r>
    </w:p>
    <w:p>
      <w:pPr>
        <w:pStyle w:val="BodyText"/>
      </w:pPr>
      <w:r>
        <w:t xml:space="preserve">Par conséquent, un ordre durerait moins par ses fondements proclamés que par ses</w:t>
      </w:r>
      <w:r>
        <w:t xml:space="preserve"> </w:t>
      </w:r>
      <w:r>
        <w:rPr>
          <w:i/>
          <w:iCs/>
        </w:rPr>
        <w:t xml:space="preserve">capacités régulatrices effectives</w:t>
      </w:r>
      <w:r>
        <w:t xml:space="preserve">. Autant dire que ce sont les dispositifs, les formats, les médiations — parfois massifs, parfois imperceptibles — par lesquels un ordre parvient à faire coexister ce qui, en droit, pourrait s’exclure : des intérêts antagonistes, des affects discordants, des récits historiques incompatibles, des régimes de valeur irréconciliables, des temporalités sociales déphasées, des exigences contradictoires en matière de justice, d’efficacité, de mémoire ou d’avenir.</w:t>
      </w:r>
    </w:p>
    <w:p>
      <w:pPr>
        <w:pStyle w:val="BodyText"/>
      </w:pPr>
      <w:r>
        <w:t xml:space="preserve">Cet ordre ne les efface pas. Il ne les réconcilie pas dans un consensus fictif. Il ne les fusionne pas dans une synthèse idéologique illusoire. Il les tient ensemble sans les résoudre, par des équilibres instables, des arrangements contingents, des formats d’ajustement plus ou moins durables. C’est là que se situe toute la puissance — et la fragilité — de la régulation : tenir sans annuler, moduler sans effacer, organiser sans clore.</w:t>
      </w:r>
    </w:p>
    <w:p>
      <w:pPr>
        <w:pStyle w:val="BodyText"/>
      </w:pPr>
      <w:r>
        <w:t xml:space="preserve">Cette capacité régulatrice, si elle échappe aux regards, n’en est pas moins structurante. Elle repose sur des agencements concrets, souvent silencieux, mais puissamment opératoires : une réforme budgétaire qui stabilise un conflit de génération sans le nommer ; un indicateur économique qui requalifie des arbitrages sociaux sans débat préalable ; un protocole logistique qui reconfigure la hiérarchie entre producteurs et distributeurs sans qu’aucune loi ne l’impose. Chaque fois, il y a régulation sans visibilité, composition sans consensus, opération sans fondement explicite.</w:t>
      </w:r>
    </w:p>
    <w:p>
      <w:pPr>
        <w:pStyle w:val="BodyText"/>
      </w:pPr>
      <w:r>
        <w:t xml:space="preserve">Il ne faut donc pas s’y tromper : ce que nous décrivons ici ne relève ni d’un effondrement soudain, ni d’un basculement spectaculaire, mais d’un déplacement discret — pourtant d’une portée considérable : la désactivation lente et diffuse des opérateurs classiques de lisibilité du politique. Ce qui se défait sous nos yeux est une grammaire d’interprétation, un outillage cognitif collectif, une capacité de mise en récit. Et ce processus est loin d’être anodin.</w:t>
      </w:r>
    </w:p>
    <w:p>
      <w:pPr>
        <w:pStyle w:val="BodyText"/>
      </w:pPr>
      <w:r>
        <w:t xml:space="preserve">Il y eut un temps — disons moderne — où l’on pouvait encore localiser les lieux de pouvoir, identifier les détenteurs de l’autorité, délimiter les instances de délibération, nommer les figures de légitimation. On pouvait encore croire que la loi émanait d’un espace visible, que la souveraineté résidait quelque part, que la représentation engageait effectivement une parole au nom d’un collectif déterminé. Ce temps — sans avoir disparu totalement — a cessé de produire des repères fonctionnels. Car si les formes demeurent — constitutions, institutions, procédures, déclarations —, une part décisive des arbitrages réels s’est déplacée hors de leur emprise. Le centre de gravité régulateur a migré vers des configurations hors des prises démocratiques.</w:t>
      </w:r>
    </w:p>
    <w:p>
      <w:pPr>
        <w:pStyle w:val="BodyText"/>
      </w:pPr>
      <w:r>
        <w:t xml:space="preserve">Désormais, ce sont des métriques qui tranchent à la place des normes, des calculs prédictifs qui se substituent aux débats. Les interfaces filtrent les droits et les voix sans qu’aucune instance délibérative n’ait statué sur leurs paramètres. Les arbitrages majeurs — ceux qui orientent les seuils d’émission de gaz à effet de serre, la sélection scolaire, les répartitions budgétaires, les politiques de logement, les trajectoires de migration, ou l’organisation des chaînes d’approvisionnement mondialisées — ne sont plus discutés collectivement, mais disséminés dans des protocoles techniques, financiers, juridiques, algorithmiques, souvent conçus hors scène, et inaccessibles à toute mise en cause publique.</w:t>
      </w:r>
    </w:p>
    <w:p>
      <w:pPr>
        <w:pStyle w:val="BodyText"/>
      </w:pPr>
      <w:r>
        <w:t xml:space="preserve">Cela ne veut pas dire que le politique ait disparu, mais plutôt qu’il tend peu à peu à se rendre indiscernable. Il ne s’exerce plus à travers des figures lisibles, mais à travers des chaînes d’acteurs, des scripts techniques, des formats d’optimisation, des boucles de retour automatisées. Cette dissémination ne relève pas d’une abstraction théorique ou d’un soupçon idéologique : elle se manifeste chaque jour dans des configurations concrètes, reconnaissables, pourtant rarement nommées pour ce qu’elles sont. Son efficacité tient précisément à sa banalité. Car désormais, ce ne sont plus des figures du commandement qui décident en surplomb, mais des dispositifs encastrés, des logiques de fonctionnement intégrées à des protocoles d’apparence neutre.</w:t>
      </w:r>
    </w:p>
    <w:p>
      <w:pPr>
        <w:pStyle w:val="BodyText"/>
      </w:pPr>
      <w:r>
        <w:t xml:space="preserve">C’est un marché carbone qui, au nom de seuils agrégés à l’échelle continentale, conduit à la fermeture d’un site industriel local, sans qu’aucune figure politique ne puisse rendre visible ni opposable l’arbitrage opéré. C’est un algorithme de régulation hospitalière qui, face à une tension budgétaire ou épidémiologique, déprogramme automatiquement des interventions chirurgicales — sans qu’aucun médecin, aucun patient, aucun responsable politique ne puisse véritablement en discuter les critères. C’est une plateforme numérique de traitement des titres de séjour qui suspend une demande pour “anomalie de saisie”, sans contact humain, sans justification claire, sans voie de recours instituée. C’est un logiciel de pilotage budgétaire, adossé à des indicateurs d’efficience, qui impose la réduction d’une politique sociale sans passage par une arène délibérative. C’est aussi un score algorithmique de risque bancaire qui écarte discrètement une famille d’un prêt, bien avant qu’elle ait pu formuler son projet.</w:t>
      </w:r>
    </w:p>
    <w:p>
      <w:pPr>
        <w:pStyle w:val="BodyText"/>
      </w:pPr>
      <w:r>
        <w:t xml:space="preserve">Contrairement aux apparences, ce qui s’offre au regard n’est plus la figure massive du pouvoir trônant dans la clarté de ses apparats, mais la trame patiente d’une régulation en mouvement. Les instances fixes ont disparu ; la demeure solennelle de l’autorité s’est effacée. Le geste réel de gouvernance s’insinue dans des protocoles, se glisse dans la routine, s’entrelace dans les habitudes, se ramifie dans d’innombrables appareils sans visage. Nul acte inaugural n’en marque ostensiblement la naissance, nulle proclamation n’en scande les rythmes. On constate seulement que la régulation avance sans fracas et tisse patiemment la toile discrète sur laquelle se déplacent nos vies. Ce ne sont plus tant le décret ou la loi qui pèsent que les enchevêtrements de normes, l’imperceptible maillage de procédures et l’ajustement continu de directives flexibles.</w:t>
      </w:r>
    </w:p>
    <w:p>
      <w:pPr>
        <w:pStyle w:val="BodyText"/>
      </w:pPr>
      <w:r>
        <w:t xml:space="preserve">La contrainte n’accable plus par l’ostentation de l’ordre, mais s’inocule par la subtilité des systèmes. Désormais, l’agencement d’équilibres, de données et de flux façonne un monde où chacun se trouve relié, indexé, impliqué dans cette dentelle administrative, sans jamais croiser le centre, sans jamais savoir nommer celui ou ce qui agit. La régulation moderne tresse ainsi un univers de seuils mobiles et d’agencements souples, où l’on ne peut jamais tout à fait fixer le moment ni le lieu du pouvoir agissant — mais où, à chaque pli de la vie collective, se lit l’empreinte d’une architecture invisible.</w:t>
      </w:r>
    </w:p>
    <w:p>
      <w:pPr>
        <w:pStyle w:val="BodyText"/>
      </w:pPr>
      <w:r>
        <w:t xml:space="preserve">La difficulté d’y résister tient moins à une violence perceptible qu’à l’évidence ontologique de ces dispositifs. Ils ne s’avancent pas comme des autorités, ne se proclament pas comme pouvoir : ils fonctionnent, nous relient et, ce faisant, opèrent. Et cette opération sans légitimation démocratique — pouvoir sans figure, contrainte sans théâtre — rend caduques nos anciennes grilles d’interprétation. Désormais, ce qui nous affecte le plus ne s’énonce plus ; il s’impose sans discours jusqu’au plus intime.</w:t>
      </w:r>
    </w:p>
    <w:p>
      <w:pPr>
        <w:pStyle w:val="BodyText"/>
      </w:pPr>
      <w:r>
        <w:t xml:space="preserve">Cela signifie que le politique s’est décousu de ses formes historiques. Il continue d’agir, de décider, d’orienter — mais sous d’autres modalités, dans d’autres lieux, avec d’autres instruments, selon des régimes d’opérativité qu’aucune des catégories anciennes ne parvient plus à saisir, à rendre intelligible et à traduire sans trahir.</w:t>
      </w:r>
    </w:p>
    <w:p>
      <w:pPr>
        <w:pStyle w:val="BodyText"/>
      </w:pPr>
      <w:r>
        <w:t xml:space="preserve">Autrement dit, nous avons changé d’époque sans encore avoir pu changer de lexique. Nous continuons de penser avec des formes obsolètes des processus qui s’activent sous nos yeux et les excèdent de toutes parts. Nous parlons de gouvernements, là où il faudrait parler de structures de régulation composite. Nous discutons de lois, là où il faudrait décrire des protocoles, des seuils, des scénographies d’ajustement, des mécanismes de</w:t>
      </w:r>
      <w:r>
        <w:t xml:space="preserve"> </w:t>
      </w:r>
      <w:r>
        <w:rPr>
          <w:i/>
          <w:iCs/>
        </w:rPr>
        <w:t xml:space="preserve">feedback</w:t>
      </w:r>
      <w:r>
        <w:t xml:space="preserve"> </w:t>
      </w:r>
      <w:r>
        <w:t xml:space="preserve">algorithmique, des normes sans normalisateurs.</w:t>
      </w:r>
    </w:p>
    <w:p>
      <w:pPr>
        <w:pStyle w:val="BodyText"/>
      </w:pPr>
      <w:r>
        <w:t xml:space="preserve">Cette disjonction entre l’expérience vécue de la contrainte et le vocabulaire disponible pour la dire n’est pas qu’un problème théorique. Elle produit une désorientation profonde. Elle empêche de penser le réel, de localiser les responsabilités et rend inopérantes les critiques. Elle altère la capacité collective à formuler des exigences, jusqu’à dissoudre les repères et les registres d’action.</w:t>
      </w:r>
    </w:p>
    <w:p>
      <w:pPr>
        <w:pStyle w:val="BodyText"/>
      </w:pPr>
      <w:r>
        <w:t xml:space="preserve">Cette impuissance démocratique généralisée à nommer, situer et orienter les formes réelles de la régulation se donne parfois à voir dans des situations d’apparente clarté. L’exemple de la taxe Zucman en fournit une illustration nette. Le principe est lisible, le diagnostic largement documenté, l’injustice repérée, l’objet débattu. Et pourtant, l’effectuation demeure suspendue : pas de dispositif stable, pas d’instance suffisamment puissante et opposable, pas de scène capable de convertir l’intelligibilité d’un problème en régulation effective. Ce cas importe moins ici pour son contenu fiscal propre que pour la structure qu’il rend visible : une idée peut être reconnue, discutée, parfois même validée publiquement, sans trouver pour autant la forme institutionnelle, technique et politique qui permettrait de la porter jusqu’à l’effectivité.</w:t>
      </w:r>
    </w:p>
    <w:p>
      <w:pPr>
        <w:pStyle w:val="BodyText"/>
      </w:pPr>
      <w:r>
        <w:t xml:space="preserve">Ce hiatus entre l’enjeu perceptible dans l’espace public et le blocage des régulations effectives constitue l’un des symptômes majeurs du présent. Il ne renvoie pas seulement à une crise des institutions, mais à une crise de lisibilité de la régulation elle-même : nous peinons de plus en plus à nommer ce qui nous oblige, à situer ce qui nous gouverne et à identifier ce qui continue de structurer nos appartenances.</w:t>
      </w:r>
    </w:p>
    <w:p>
      <w:pPr>
        <w:pStyle w:val="BodyText"/>
      </w:pPr>
      <w:r>
        <w:t xml:space="preserve">À mesure que les instruments du pouvoir deviennent techniques, que les décisions se diluent dans des protocoles, que les normes se déterritorialisent dans des scripts ou des seuils, la question de la régulation glisse en dehors du périmètre politique, comme si elle n’avait plus de lieu propre, plus d’arène reconnaissable, plus de langage pour s’énoncer. Le politique ne disparaît pas — il se désinscrit, il se dissimule dans d’autres formats, il s’internalise dans les infrastructures, il se pulvérise dans des régularités sans délibération démocratique.</w:t>
      </w:r>
    </w:p>
    <w:p>
      <w:pPr>
        <w:pStyle w:val="BodyText"/>
      </w:pPr>
      <w:r>
        <w:t xml:space="preserve">Et face à cette évanescence, deux réflexes s’affrontent. L’un, nostalgique, cherche à réhabiliter les anciennes figures du pouvoir : l’autorité, la loi, la souveraineté, comme si elles pouvaient encore réactiver un ordre en désagrégation. L’autre, sceptique, postule qu’il n’y a plus rien à faire — que nous vivons l’épuisement définitif de l’arène politique, sa disparition dans le flux, le calcul, le désordre entropique des systèmes.</w:t>
      </w:r>
    </w:p>
    <w:p>
      <w:pPr>
        <w:pStyle w:val="BodyText"/>
      </w:pPr>
      <w:r>
        <w:t xml:space="preserve">Pour autant, quelque chose continue d’agir, de structurer, de différencier, même en l’absence de pouvoir identifiable. Ce quelque chose, c’est la manière dont une société régule ses tensions internes : non plus en les effaçant, mais en les tenant, en les exposant, en les configurant dans des dispositifs — visibles ou non — capables de contenir sans abolir, de moduler sans figer, de différer sans éluder.</w:t>
      </w:r>
    </w:p>
    <w:p>
      <w:pPr>
        <w:pStyle w:val="BodyText"/>
      </w:pPr>
      <w:r>
        <w:t xml:space="preserve">Nous devons donc reprendre à neuf la question la plus enfouie de la politique :</w:t>
      </w:r>
      <w:r>
        <w:t xml:space="preserve"> </w:t>
      </w:r>
      <w:r>
        <w:rPr>
          <w:i/>
          <w:iCs/>
        </w:rPr>
        <w:t xml:space="preserve">qu’est-ce qui fait qu’un monde collectif tient ?</w:t>
      </w:r>
      <w:r>
        <w:t xml:space="preserve"> </w:t>
      </w:r>
      <w:r>
        <w:t xml:space="preserve">Non plus dans l’abstrait, mais dans la matérialité de ses pratiques, la texture de ses conflits, l’architecture de ses médiations.</w:t>
      </w:r>
      <w:r>
        <w:t xml:space="preserve"> </w:t>
      </w:r>
      <w:r>
        <w:rPr>
          <w:i/>
          <w:iCs/>
        </w:rPr>
        <w:t xml:space="preserve">Par quels agencements tient-il ?</w:t>
      </w:r>
      <w:r>
        <w:t xml:space="preserve"> </w:t>
      </w:r>
      <w:r>
        <w:rPr>
          <w:i/>
          <w:iCs/>
        </w:rPr>
        <w:t xml:space="preserve">À travers quelles épreuves ? Selon quelles temporalités ? Et sous quelles conditions de réversibilité ?</w:t>
      </w:r>
    </w:p>
    <w:p>
      <w:pPr>
        <w:pStyle w:val="BodyText"/>
      </w:pPr>
      <w:r>
        <w:t xml:space="preserve">Car il ne suffit plus de dire que le pouvoir est diffus, que les normes sont flexibles, que les algorithmes décident. Encore faut-il comprendre comment ces formes apparemment dispersées composent — ou échouent à composer — un monde co-viable, c’est-à-dire capable de réguler sans brutaliser, de transformer sans dissoudre, d’être robuste et de résister sans exclure. C’est là, dans cette capacité à organiser la tension sans basculer dans la clôture ni dans le chaos, que se joue le cœur du politique contemporain — non plus comme souveraineté, mais comme scénographie régulatrice.</w:t>
      </w:r>
    </w:p>
    <w:p>
      <w:pPr>
        <w:pStyle w:val="BodyText"/>
      </w:pPr>
      <w:r>
        <w:t xml:space="preserve">Mais cette scénographie, aujourd’hui, est inopérante. Soit elle est fantomatique — laissée à l’abandon, réduite à un formalisme creux. Soit elle est confisquée — captée par des dispositifs opaques, des rationalités techniques, des opérateurs propriétaires fermés. Dans les deux cas, ce qui est mis en péril, ce n’est pas uniquement l’idée de démocratie ou le jeu des institutions, mais la possibilité même d’un monde de confrontation et de controverse, d’un espace commun où la régulation pourrait être rendue visible, négociable, opposable, réversible.</w:t>
      </w:r>
    </w:p>
    <w:p>
      <w:pPr>
        <w:pStyle w:val="BodyText"/>
      </w:pPr>
      <w:r>
        <w:t xml:space="preserve">Or ce qui s’efface désormais, c’est la capacité collective à en formuler les conditions, à en penser les formes, à en situer les nouvelles arènes de pouvoir. Ce qui s’érode, plus encore qu’une architecture institutionnelle, c’est notre aptitude à dire ce qui oblige, à comprendre ce qui ajuste, à situer ce qui contraint. L’étrangeté du présent ne réside pas dans une hypertrophie du pouvoir — comme on le répète trop souvent — mais dans un brouillage profond de ses modes d’existence. Nous ne savons plus vraiment comment le pouvoir s’exerce, où il opère, par quels instruments il module, ni selon quels critères il ajuste. Et pourtant, nous continuons de mobiliser les mêmes mots :</w:t>
      </w:r>
      <w:r>
        <w:t xml:space="preserve"> </w:t>
      </w:r>
      <w:r>
        <w:rPr>
          <w:i/>
          <w:iCs/>
        </w:rPr>
        <w:t xml:space="preserve">monarchie</w:t>
      </w:r>
      <w:r>
        <w:t xml:space="preserve">,</w:t>
      </w:r>
      <w:r>
        <w:t xml:space="preserve"> </w:t>
      </w:r>
      <w:r>
        <w:rPr>
          <w:i/>
          <w:iCs/>
        </w:rPr>
        <w:t xml:space="preserve">oligarchie</w:t>
      </w:r>
      <w:r>
        <w:t xml:space="preserve">,</w:t>
      </w:r>
      <w:r>
        <w:t xml:space="preserve"> </w:t>
      </w:r>
      <w:r>
        <w:rPr>
          <w:i/>
          <w:iCs/>
        </w:rPr>
        <w:t xml:space="preserve">démocratie</w:t>
      </w:r>
      <w:r>
        <w:t xml:space="preserve">,</w:t>
      </w:r>
      <w:r>
        <w:t xml:space="preserve"> </w:t>
      </w:r>
      <w:r>
        <w:rPr>
          <w:i/>
          <w:iCs/>
        </w:rPr>
        <w:t xml:space="preserve">technocratie</w:t>
      </w:r>
      <w:r>
        <w:t xml:space="preserve">,</w:t>
      </w:r>
      <w:r>
        <w:t xml:space="preserve"> </w:t>
      </w:r>
      <w:r>
        <w:rPr>
          <w:i/>
          <w:iCs/>
        </w:rPr>
        <w:t xml:space="preserve">bureaucratie</w:t>
      </w:r>
      <w:r>
        <w:t xml:space="preserve">,</w:t>
      </w:r>
      <w:r>
        <w:t xml:space="preserve"> </w:t>
      </w:r>
      <w:r>
        <w:rPr>
          <w:i/>
          <w:iCs/>
        </w:rPr>
        <w:t xml:space="preserve">ploutocratie</w:t>
      </w:r>
      <w:r>
        <w:t xml:space="preserve">,</w:t>
      </w:r>
      <w:r>
        <w:t xml:space="preserve"> </w:t>
      </w:r>
      <w:r>
        <w:rPr>
          <w:i/>
          <w:iCs/>
        </w:rPr>
        <w:t xml:space="preserve">méritocratie</w:t>
      </w:r>
      <w:r>
        <w:t xml:space="preserve">… Comme si ces termes suffisaient encore à décrire ce qui nous affecte.</w:t>
      </w:r>
    </w:p>
    <w:p>
      <w:pPr>
        <w:pStyle w:val="BodyText"/>
      </w:pPr>
      <w:r>
        <w:t xml:space="preserve">Ces termes politiques s’organisent autour de deux grands suffixes —</w:t>
      </w:r>
      <w:r>
        <w:t xml:space="preserve"> </w:t>
      </w:r>
      <w:r>
        <w:rPr>
          <w:i/>
          <w:iCs/>
        </w:rPr>
        <w:t xml:space="preserve">-archie</w:t>
      </w:r>
      <w:r>
        <w:t xml:space="preserve"> </w:t>
      </w:r>
      <w:r>
        <w:t xml:space="preserve">et</w:t>
      </w:r>
      <w:r>
        <w:t xml:space="preserve"> </w:t>
      </w:r>
      <w:r>
        <w:rPr>
          <w:i/>
          <w:iCs/>
        </w:rPr>
        <w:t xml:space="preserve">-cratie</w:t>
      </w:r>
      <w:r>
        <w:t xml:space="preserve"> </w:t>
      </w:r>
      <w:r>
        <w:t xml:space="preserve">— forgés dans les débats de la Grèce antique, et largement sédimentés dans les lexiques modernes. Les suffixes en -</w:t>
      </w:r>
      <w:r>
        <w:rPr>
          <w:i/>
          <w:iCs/>
        </w:rPr>
        <w:t xml:space="preserve">archie</w:t>
      </w:r>
      <w:r>
        <w:t xml:space="preserve"> </w:t>
      </w:r>
      <w:r>
        <w:t xml:space="preserve">désignent un</w:t>
      </w:r>
      <w:r>
        <w:t xml:space="preserve"> </w:t>
      </w:r>
      <w:r>
        <w:rPr>
          <w:i/>
          <w:iCs/>
        </w:rPr>
        <w:t xml:space="preserve">pouvoir fondé sur un principe premier</w:t>
      </w:r>
      <w:r>
        <w:t xml:space="preserve"> </w:t>
      </w:r>
      <w:r>
        <w:t xml:space="preserve">(</w:t>
      </w:r>
      <w:r>
        <w:rPr>
          <w:i/>
          <w:iCs/>
        </w:rPr>
        <w:t xml:space="preserve">arkhè</w:t>
      </w:r>
      <w:r>
        <w:t xml:space="preserve">), une origine ou une légitimité verticale : monarchie, oligarchie, etc. Ceux en -</w:t>
      </w:r>
      <w:r>
        <w:rPr>
          <w:i/>
          <w:iCs/>
        </w:rPr>
        <w:t xml:space="preserve">cratie</w:t>
      </w:r>
      <w:r>
        <w:t xml:space="preserve"> </w:t>
      </w:r>
      <w:r>
        <w:t xml:space="preserve">désignent plutôt les</w:t>
      </w:r>
      <w:r>
        <w:t xml:space="preserve"> </w:t>
      </w:r>
      <w:r>
        <w:rPr>
          <w:i/>
          <w:iCs/>
        </w:rPr>
        <w:t xml:space="preserve">modalités pratiques d’exercice du pouvoir</w:t>
      </w:r>
      <w:r>
        <w:t xml:space="preserve"> </w:t>
      </w:r>
      <w:r>
        <w:t xml:space="preserve">(</w:t>
      </w:r>
      <w:r>
        <w:rPr>
          <w:i/>
          <w:iCs/>
        </w:rPr>
        <w:t xml:space="preserve">kratos</w:t>
      </w:r>
      <w:r>
        <w:t xml:space="preserve">) : démocratie, technocratie, bureaucratie, etc.</w:t>
      </w:r>
    </w:p>
    <w:p>
      <w:pPr>
        <w:pStyle w:val="BodyText"/>
      </w:pPr>
      <w:r>
        <w:t xml:space="preserve">Cette distinction entre fondement et exercice, légitimation et opération, traverse toute la modernité politique. Cependant, cette séparation ne permet plus aujourd’hui de saisir la réalité des régulations effectives. Car les scènes d’</w:t>
      </w:r>
      <w:r>
        <w:rPr>
          <w:i/>
          <w:iCs/>
        </w:rPr>
        <w:t xml:space="preserve">arkhè</w:t>
      </w:r>
      <w:r>
        <w:t xml:space="preserve"> </w:t>
      </w:r>
      <w:r>
        <w:t xml:space="preserve">se sont en grande partie effondrées sans être remplacées, tandis que les</w:t>
      </w:r>
      <w:r>
        <w:t xml:space="preserve"> </w:t>
      </w:r>
      <w:r>
        <w:rPr>
          <w:i/>
          <w:iCs/>
        </w:rPr>
        <w:t xml:space="preserve">kratos</w:t>
      </w:r>
      <w:r>
        <w:t xml:space="preserve"> </w:t>
      </w:r>
      <w:r>
        <w:t xml:space="preserve">contemporains tendent à s’exercer sans adresse, sans représentation, sans théâtre. L’on disserte sur les vertus de la démocratie, mais le</w:t>
      </w:r>
      <w:r>
        <w:t xml:space="preserve"> </w:t>
      </w:r>
      <w:r>
        <w:rPr>
          <w:i/>
          <w:iCs/>
        </w:rPr>
        <w:t xml:space="preserve">dèmos</w:t>
      </w:r>
      <w:r>
        <w:t xml:space="preserve"> </w:t>
      </w:r>
      <w:r>
        <w:t xml:space="preserve">n’a plus de lieu de confrontation effective :</w:t>
      </w:r>
      <w:r>
        <w:t xml:space="preserve"> </w:t>
      </w:r>
      <w:r>
        <w:rPr>
          <w:i/>
          <w:iCs/>
        </w:rPr>
        <w:t xml:space="preserve">serait-ce la rue ? Seraient-ce les réseaux sociaux ? Seraient-ce les médias ? Serait-ce le Parlement ?</w:t>
      </w:r>
    </w:p>
    <w:p>
      <w:pPr>
        <w:pStyle w:val="BodyText"/>
      </w:pPr>
      <w:r>
        <w:t xml:space="preserve">Force est de constater qu’aucun de ces espaces n’assure aujourd’hui, à lui seul, une scène de confrontation effective : la rue est souvent contenue ou réprimée ; les réseaux sociaux filtrent, segmentent et compartimentent les prises de parole ; les grands médias sont soumis à une forte concentration capitalistique ; et le Parlement ne parvient plus, à lui seul, à représenter ni à articuler l’ensemble de la conflictualité sociale.</w:t>
      </w:r>
    </w:p>
    <w:p>
      <w:pPr>
        <w:pStyle w:val="BodyText"/>
      </w:pPr>
      <w:r>
        <w:t xml:space="preserve">L’on invoque la République, mais la</w:t>
      </w:r>
      <w:r>
        <w:t xml:space="preserve"> </w:t>
      </w:r>
      <w:r>
        <w:rPr>
          <w:i/>
          <w:iCs/>
        </w:rPr>
        <w:t xml:space="preserve">res publica</w:t>
      </w:r>
      <w:r>
        <w:t xml:space="preserve"> </w:t>
      </w:r>
      <w:r>
        <w:t xml:space="preserve">— la chose publique, appellation la plus vague et la plus creuse que l’on puisse donner de l’espace politique — se dissout dans des logiques qui échappent à toute délibération commune : absence de débat, passage en force, brutalisme institutionnel.</w:t>
      </w:r>
    </w:p>
    <w:p>
      <w:pPr>
        <w:pStyle w:val="BodyText"/>
      </w:pPr>
      <w:r>
        <w:t xml:space="preserve">Quant au langage politique, il continue d’énoncer des structures et des projets, mais il ne parvient pas à décrire les opérations effectives de régulation, tant le système socio-économique, en plus de s’être libéralisé et privatisé, s’est étendu et complexifié tout en confiant les leviers d’action au niveau supranational.</w:t>
      </w:r>
    </w:p>
    <w:p>
      <w:pPr>
        <w:pStyle w:val="BodyText"/>
      </w:pPr>
      <w:r>
        <w:t xml:space="preserve">C’est précisément cette disjonction — entre les principes supposés légitimer le pouvoir, et les dispositifs qui en assurent l’effectuation — qui produit aujourd’hui notre impuissance à penser la régulation. Car aucun de ces termes ne dit où se tiennent les tensions, comment elles sont traitées, par quelles instances elles sont articulées. Les -archies contemporaines ne garantissent plus, à elles seules, la dispute effective de leurs fondements ; et les -craties existantes n’organisent plus, à elles seules, les conditions suffisantes de leur opposabilité. Tandis que nous continuons à nommer des formes de régime, les processus réels de régulation se déplacent vers des configurations où la mise à l’épreuve devient intermittente, captée, relocalisée ou pratiquement inaccessible, au point d’échapper à tout espace visible d’épreuve. Jusqu’à présent, ils opèrent privés de contradictoire, dépourvus de délai, amputés d’institutions de réversibilité. Autrement dit : nous sommes gouvernés sans être gouvernés, régulés sans régulation légitimée, affectés sans instance délibérative.</w:t>
      </w:r>
    </w:p>
    <w:p>
      <w:pPr>
        <w:pStyle w:val="BodyText"/>
      </w:pPr>
      <w:r>
        <w:t xml:space="preserve">Cette dissociation — entre pouvoir nommé et régulation agissante — peut sembler abstraite. Elle ne l’est pas. Un cas devenu emblématique en offre la preuve saisissante. Entre 2010 et 2011, l’État belge a connu une situation institutionnelle inédite — près de 540 jours sans gouvernement fédéral de plein exercice. Aucun exécutif formel, aucun nouveau mandat, aucune majorité parlementaire opérationnelle. Et pourtant, rien ne s’est effondré. Les institutions ont continué à fonctionner. Les services publics ont été assurés. L’économie n’a pas sombré. La diplomatie s’est poursuivie. Et la société belge a tenu malgré les tensions communautaires.</w:t>
      </w:r>
    </w:p>
    <w:p>
      <w:pPr>
        <w:pStyle w:val="BodyText"/>
      </w:pPr>
      <w:r>
        <w:t xml:space="preserve">Cet épisode, souvent évoqué sur le ton de l’anecdote, mérite d’être considéré ici comme un symptôme politique majeur. Il indique que la régulation ne passe plus nécessairement par la verticalité du pouvoir, mais par des dispositifs latents, des agencements structurels, des inerties normatives et des coordinations transversales ou distribuées. Il montre qu’un ordre peut fonctionner sans fondement renouvelé, tenir sans pilotage, résister sans commande visible. Pierre Rosanvallon le soulignait (</w:t>
      </w:r>
      <w:r>
        <w:rPr>
          <w:i/>
          <w:iCs/>
        </w:rPr>
        <w:t xml:space="preserve">La Légitimité démocratique</w:t>
      </w:r>
      <w:r>
        <w:t xml:space="preserve">, 2008), en affirmant que les sociétés reposent aussi sur des « formes de légitimité latentes », moins spectaculaires que le vote ou la loi, mais non moins décisives. L’expérience belge illustre avec force cette persistance d’une régulation sans gouvernement explicite. Ce phénomène suggère que l’architecture régulatrice n’est plus identifiable aux lieux habituels de la souveraineté.</w:t>
      </w:r>
    </w:p>
    <w:p>
      <w:pPr>
        <w:pStyle w:val="BodyText"/>
      </w:pPr>
      <w:r>
        <w:t xml:space="preserve">Pour autant, le pouvoir n’a pas disparu ; il s’exerce désormais depuis d’autres formes que celles qui le légitimaient. Il s’est délocalisé, désinstitutionnalisé, déréférencé — tout en continuant à structurer silencieusement la vie collective. Et c’est dans cet écart grandissant — entre l’absence de gouvernement et la persistance d’une régulation — que se dessine le cœur de la problématique contemporaine : pour nombre d’entre nous, nous continuons à chercher le pouvoir là où il n’est plus, et à négliger les régulations implicites là où elles deviennent de plus en plus décisives.</w:t>
      </w:r>
    </w:p>
    <w:p>
      <w:pPr>
        <w:pStyle w:val="BodyText"/>
      </w:pPr>
      <w:r>
        <w:t xml:space="preserve">Pour que ces dispositifs puissent fonctionner ainsi, discrètement et efficacement, sans qu’on puisse les identifier ni les contester, il faut d’abord que les lieux où ils auraient pu être exposés, discutés ou débattus soient neutralisés, effacés, disqualifiés ou rendus inutiles. Les lieux de pouvoir s’évaporent progressivement, les moyens d’expression se désagrègent, et les cadres d’appel à la responsabilité deviennent inaudibles. L’arène du politique ne disparaît pas brutalement, elle se désagrège lentement à mesure que ses conditions d’existence — la mise en scène, la confrontation et la mise à l’épreuve — se retirent.</w:t>
      </w:r>
    </w:p>
    <w:p>
      <w:pPr>
        <w:pStyle w:val="BodyText"/>
      </w:pPr>
      <w:r>
        <w:t xml:space="preserve">Les anciens espaces d’exposition — Parlement, place publique, journal, commission, agora, tribune — ne remplissent plus leur fonction instituante. Non qu’ils aient été abolis : ils subsistent, mais tournent à vide, pris dans la superposition d’éléments de langage, dans des logiques oblitératrices, dans l’interruption des moments d’interpellation et dans l’empêchement des pensées contre-propositionnelles. Ils parlent sans prise. Ils évoquent sans effet. Ils promettent sans adossement réel. En somme, ils hypnotisent et désactivent. Et tandis qu’ils persistent comme formes, les lieux effectifs de la régulation — là où s’arbitrent réellement les seuils, s’ajustent véritablement les normes, se décident les niveaux de tolérance ou d’exclusion — se déplacent hors de la portée de tous.</w:t>
      </w:r>
    </w:p>
    <w:p>
      <w:pPr>
        <w:pStyle w:val="BodyText"/>
      </w:pPr>
      <w:r>
        <w:t xml:space="preserve">Cette désactivation des anciennes scènes de visibilité ne relève pas d’une abstraction — elle a connu, en France, un moment décisif et révélateur : le référendum de 2005 sur le traité constitutionnel européen (TCE). Ce vote, qui a pourtant recueilli près de 55 % de refus, n’a pas produit les effets régulateurs que l’on aurait pu attendre. Deux ans plus tard, son contenu central était repris dans le traité de Lisbonne, adopté par voie parlementaire à Versailles, sans jamais redonner la parole aux citoyens.</w:t>
      </w:r>
    </w:p>
    <w:p>
      <w:pPr>
        <w:pStyle w:val="BodyText"/>
      </w:pPr>
      <w:r>
        <w:t xml:space="preserve">Ce court-circuitage du résultat du référendum n’a pas seulement provoqué un malaise démocratique : il a signalé l’obsolescence d’une arène politique qui prétend encore incarner la souveraineté populaire, tout en s’ajustant aux impératifs d’une régulation supranationale désindexée de tout espace de débat. Depuis, les grandes décisions se prennent largement hors scène, dans des configurations qui échappent aux rituels de la légitimation représentative. L’épisode du TCE fut ainsi moins une exception qu’un révélateur : la souveraineté n’a pas disparu, elle s’est déplacée et s’est muée ; et ce sont les lieux traditionnels de confrontation — qui permettaient de la contester — qui perdent peu à peu de leur puissance.</w:t>
      </w:r>
    </w:p>
    <w:p>
      <w:pPr>
        <w:pStyle w:val="BodyText"/>
      </w:pPr>
      <w:r>
        <w:t xml:space="preserve">Il en résulte aujourd’hui ce que l’on pourrait nommer une vacance des figures politiques. Non pas un vide institutionnel — les appareils demeurent — ni un abandon total du pouvoir — les décisions continuent de tomber — mais un effacement progressif des repères identifiables à travers lesquels ce pouvoir pouvait encore être pensé, nommé, interrogé, disputé ou dénoncé. Ce qui fait défaut, ce ne sont ni les procédures, ni les organigrammes, ni les énoncés de façade, mais les conditions mêmes d’un horizon partagé, d’une épreuve contradictoire et d’une adresse signifiante du pouvoir.</w:t>
      </w:r>
    </w:p>
    <w:p>
      <w:pPr>
        <w:pStyle w:val="BodyText"/>
      </w:pPr>
      <w:r>
        <w:t xml:space="preserve">Les institutions demeurent et fonctionnent. Des lois sont encore votées, des ordonnances promulguées, des discours prononcés dans des formes toujours codifiées. Pourtant, ces énoncés institutionnels, malgré leur constance formelle, peinent à produire de l’attachement, du conflit réglé et du récit commun. Lorsque les grandes directives sont déjà prises ailleurs, et qu’une tutelle s’exerce sur les marges de manœuvre budgétaire et les politiques publiques, tout programme de rupture avec l’existant se trouve d’emblée frappé de discrédit. Il en résulte une tendance à entériner et à traduire en termes juridiques les grands principes issus des institutions européennes. Ainsi, nos partis politiques et nos institutions s’amenuisent et perdent de leur influence : ils peinent à ouvrir des brèches, à franchir des seuils, à générer des événements rassembleurs. Les moments qu’ils produisent surviennent puis s’évanouissent — rarement débattus, rarement disputés. Ils prétendent encore transformer, mais peinent de plus en plus à convaincre. La vie démocratique ne parvient plus à infléchir ledit pouvoir dans une visée d’horizon partagé puisque sa souveraineté se voit entachée.</w:t>
      </w:r>
    </w:p>
    <w:p>
      <w:pPr>
        <w:pStyle w:val="BodyText"/>
      </w:pPr>
      <w:r>
        <w:t xml:space="preserve">Peut-être faut-il alors suspendre un instant le flux de l’analyse pour ouvrir la perspective : entendre ce que cette disparition fait à nos imaginaires. Car perdre les lieux de confrontation, ce n’est pas perdre uniquement un espace politique — c’est voir s’effacer le langage commun de la mise en tension, de l’épreuve contradictoire, du désaccord rendu partageable. En somme, celui-ci n’est pas qu’un cadre, mais aussi une forme sensible, un rythme, un tempo, un théâtre où pouvaient s’exprimer les dissensus, mais aussi se nouer des alliances, des compromis, des co-habitations et des promesses de coexistence. C’est cette mise en forme qui vacille aujourd’hui — et avec elle, notre capacité à rendre visibles les lignes de fracture, les régimes d’attachement, les besoins vitaux et leurs modalités d’arbitrage.</w:t>
      </w:r>
    </w:p>
    <w:p>
      <w:pPr>
        <w:pStyle w:val="BodyText"/>
      </w:pPr>
      <w:r>
        <w:t xml:space="preserve">Depuis lors, les élections se succèdent, mais l’offre programmatique s’uniformise. En France, lors des campagnes présidentielles de 2022, plusieurs observateurs ont noté une quasi-absence de débats contradictoires sur les infrastructures écologiques, la gestion de l’eau, les algorithmes de tri social ou les seuils budgétaires européens — sujets pourtant structurants et centraux. La parole politique reste intense, mais elle survole en ignorant les points réels d’adhérence et de discordance. Elle n’expose ni la texture du monde vécu ni la réalité du tissu productif. Elle ne donne plus à saisir ni la forme ni la scène où les arbitrages s’opèrent. Elle devient commentaire sans impact, phrase choc ou viralité polémique, sans colonne vertébrale permettant de se figurer les problématiques.</w:t>
      </w:r>
    </w:p>
    <w:p>
      <w:pPr>
        <w:pStyle w:val="BodyText"/>
      </w:pPr>
      <w:r>
        <w:t xml:space="preserve">Côté médias, le constat est plus ambivalent, mais tout aussi troublant. D’un côté, l’information est surabondante ; de l’autre, les controverses s’enlisent dans le flux. On discute des intentions, rarement des formats. On spécule sur les effets, sans jamais problématiser les dispositifs. L’émission télévisée « Face à Baba » ou le « Grand Débat national » post-Gilets jaunes en offrent des exemples emblématiques : ils ont suscité de nombreuses prises de parole, tout en ayant peu de prise sur le réel. Il y eut certes des paroles fortes, mais sans véritable structure d’intégration. Il y eut des opinions tranchées, mais sans l’énonciation d’une architecture délibérative. De sorte que la parole a circulé, mais elle n’avait pas autorité à s’instituer. Elle n’était pas dans le bon lieu : le plateau télévisé n’a d’autre vocation que l’audience.</w:t>
      </w:r>
    </w:p>
    <w:p>
      <w:pPr>
        <w:pStyle w:val="BodyText"/>
      </w:pPr>
      <w:r>
        <w:t xml:space="preserve">Même les commissions d’enquête, qui, historiquement, cristallisaient un moment de vérité ou de remaniement, semblent affectées. Le rapport de l’Assemblée nationale sur la gestion de la pandémie de Covid-19, par exemple, a bien été publié en 2022. Il formule des dizaines de propositions. Pourtant, peu d’entre elles ont fait l’objet d’une reprise effective, ni dans la sphère politique, ni dans la sphère médiatique, ni dans la transformation des pratiques administratives. Là encore, la procédure opère — mais sans relais, sans engagement, sans espace de transformation. Même s’il faut le reconnaître, certaines analyses ont néanmoins nourri un débat plus large sur l’état de la santé publique, contribuant à renforcer la vigilance citoyenne sur les infrastructures hospitalières.</w:t>
      </w:r>
    </w:p>
    <w:p>
      <w:pPr>
        <w:pStyle w:val="BodyText"/>
      </w:pPr>
      <w:r>
        <w:t xml:space="preserve">Un autre exemple, plus récent encore, illustre avec une intensité toute particulière ce décalage entre mise en scène délibérative et opérativité réelle : celui de la Convention Citoyenne pour le Climat, initiée en France en 2019 à la suite du mouvement des Gilets Jaunes. Ce dispositif inédit proposait à 150 citoyennes et citoyens, tirés au sort, de formuler des propositions concrètes pour réduire les émissions de gaz à effet de serre (GES) dans un esprit de justice sociale. La procédure fut longue, exigeante, documentée. Les membres furent encadrés par des scientifiques, des spécialistes, des juristes, des praticiens. Leurs recommandations — 149 au total — furent saluées, y compris par les experts du climat, comme ambitieuses, sérieuses, largement compatibles avec les engagements climatiques de la France. Le président de la République s’était engagé à les transmettre « sans filtre ».</w:t>
      </w:r>
    </w:p>
    <w:p>
      <w:pPr>
        <w:pStyle w:val="BodyText"/>
      </w:pPr>
      <w:r>
        <w:t xml:space="preserve">Et pourtant. À l’issue de la convention, la grande majorité des propositions furent vidées de leur substance, renvoyées en commissions ou transformées jusqu’à l’inverse de leur logique initiale. Certaines furent reprises à la marge dans la loi « Climat et Résilience », d’autres enterrées sans débat, d’autres encore tournées en dérision. L’expression « sans filtre » fut rapidement abandonnée, remplacée par des formules dilatoires. L’instance réflexive a existé, mais elle n’a pas su instituer. La parole a circulé, mais elle n’a pas performé. La procédure, bien que dense, n’a pas permis, là encore, l’instauration d’une architecture de régulation efficiente.</w:t>
      </w:r>
    </w:p>
    <w:p>
      <w:pPr>
        <w:pStyle w:val="BodyText"/>
      </w:pPr>
      <w:r>
        <w:t xml:space="preserve">En ce sens, la Convention n’a pas échoué parce qu’elle était utopique ; elle a échoué parce qu’elle n’a pas trouvé d’ancrage régulateur dans l’architecture politique réelle. Cet exemple montre bien comment un dispositif peut produire de la parole et de la visibilité, sans pour autant parvenir à instituer une régulation opérante. Ce n’est donc pas un lieu de confrontation sans conflit, mais une instance délibérative qui n’a pas donné suite. Et c’est ce type d’effacement — non spectaculaire, mais systémique — qui constitue aujourd’hui le symptôme d’une archéologie du politique désamarrée de ses obligations démocratiques.</w:t>
      </w:r>
    </w:p>
    <w:p>
      <w:pPr>
        <w:pStyle w:val="BodyText"/>
      </w:pPr>
      <w:r>
        <w:t xml:space="preserve">Contrairement au discours du sens commun, qui pointe la responsabilité du chef de l’État, nous pensons que le pouvoir s’est désincarné. Bien que les figures de l’autorité demeurent — titres, fonctions, attributs symboliques —, elles ne cristallisent plus ni contestation structurée, ni reconnaissance affective, ni légitimation opérante. Pendant ce temps, la conflictualité n’a jamais autant submergé le tissu social : désaccords éthiques, désynchronisations temporelles, fractures territoriales, crises multifactorielles, paupérisation systémique, violences symboliques ou physiques. Et, pourtant, cette conflictualité ne trouve plus les lieux où s’exprimer sans exploser. Elle ne se problématise plus dans des dispositifs communs, mais éclate en formes de colère dispersées, parfois illisibles, parfois délégitimées avant même d’avoir trouvé une expression stabilisée. Tel fut le cas du mouvement des Gilets jaunes.</w:t>
      </w:r>
    </w:p>
    <w:p>
      <w:pPr>
        <w:pStyle w:val="BodyText"/>
      </w:pPr>
      <w:r>
        <w:t xml:space="preserve">Et pendant ce temps, les décisions, elles, s’accumulent : fermeture d’un service hospitalier, recentrage budgétaire, ajustement d’un seuil d’éligibilité, réforme à marche forcée du régime des retraites, réforme de l’assurance chômage, redéfinition d’indicateurs d’évaluation du marché de l’emploi, déremboursements médicaux, désindexation d’aide sociale, etc. Ces décisions adviennent sans adresse explicite, sans exposition des arbitrages effectués, sans procès public, sans contradictoire. Elles sont le fruit d’instances spécifiques rendues opaques, qui n’apparaissent pas ou n’assument pas leur fonction politique. Elles opèrent sous couvert de technique, mais agissent comme pouvoir — sans l’assumer publiquement.</w:t>
      </w:r>
    </w:p>
    <w:p>
      <w:pPr>
        <w:pStyle w:val="BodyText"/>
      </w:pPr>
      <w:r>
        <w:t xml:space="preserve">Ainsi, ce n’est pas la capacité d’agir qui fait défaut — les régulations persistent, comme nous le voyons bien —, mais la possibilité de rendre visible ce qui agit. Ce qui tend à s’effacer, ce n’est pas le politique comme mécanisme de régulation, mais le politique comme espace de mise à l’épreuve. Nous habitons un monde saturé de normes, mais privé de figures crédibles de justification. Les arbitrages se multiplient sans explication, sans délibération, sans lieu d’arbitrage démocratiquement établi.</w:t>
      </w:r>
    </w:p>
    <w:p>
      <w:pPr>
        <w:pStyle w:val="BodyText"/>
      </w:pPr>
      <w:r>
        <w:t xml:space="preserve">Et c’est précisément cette disparition d’espaces de controverses et de confrontation — cette disparition des lieux où se mettait en forme le différend, où s’exposait le conflit, où se partageait le sensible — qui constitue une perte capitale. Car c’est par la mise en scène des dissensus que les sociétés humaines ont, pendant des siècles, pu penser ensemble ce qui les liait, les divisait, les orientait. C’est sur cette instance d’épreuve qu’étaient rendues visibles les visions du monde qui s’affrontaient, les justifications qui s’opposaient, les intérêts qui s’exprimaient. Supprimez la scène d’exposition — et ce n’est pas le pouvoir qui disparaît, mais la possibilité d’en débattre. De sorte que la régulation dans les faits ne s’interrompt jamais : c’est la possibilité même qu’elle devienne affaire publique qui s’efface. Quant à l’ordre des choses, il ne se dissout pas, il se mue. Et c’est notre capacité collective à le mettre en cause qui se délite faute de compréhension et de préhension.</w:t>
      </w:r>
    </w:p>
    <w:p>
      <w:pPr>
        <w:pStyle w:val="BodyText"/>
      </w:pPr>
      <w:r>
        <w:t xml:space="preserve">Privés de lieux publics partagés, devenus propriétés privées, nous sommes aussi privés d’une mise en conflit visible et compréhensible. Pourtant, les tensions sont nombreuses, mais elles restent muettes, sans récit commun ni cadre d’expression. Ce qui nous divise cesse d’apparaître clairement. Ce qui nous déchire n’a plus de langage partagé performatif. Ce qui devrait susciter débat et polémique s’efface dans l’indifférence ou se réduit à une simple gestion technique de l’opinion et de la propagande. Le jeu politique ne dispute plus l’ordre du monde, car il ne semble même plus pouvoir le contester ; il en devient seulement le décor figé, répétant sans contradiction les mêmes ritournelles idéologiques.</w:t>
      </w:r>
    </w:p>
    <w:p>
      <w:pPr>
        <w:pStyle w:val="BodyText"/>
      </w:pPr>
      <w:r>
        <w:t xml:space="preserve">Or, sans polémique et sans cadre robuste de pensée, la politique au sens fort ne disparaît pas d’un seul coup, mais elle perd ses conditions d’effectivité, de conflictualité et de reprise. Il y a de la décision, de la gestion, de la réaction, du pilotage. Mais il n’y a plus d’espace où les fins pourraient être débattues, les normes interrogées, les tensions rendues visibles. Ce qui demeure, c’est une sorte de théâtre spectral — où le pouvoir mime encore ses rituels, mais sans adossement, sans prise, sans mise en jeu. Et ce décor fantomatique maintient en vie un imaginaire périmé : celui d’un pouvoir situé, identifiable, contestable. Mais cet imaginaire n’opère plus. Il flotte comme une relique, un fantasme d’époque révolue. C’est du moins ce que nous pensons.</w:t>
      </w:r>
    </w:p>
    <w:p>
      <w:pPr>
        <w:pStyle w:val="BodyText"/>
      </w:pPr>
      <w:r>
        <w:t xml:space="preserve">Ce qui se prépare alors n’est pas une transformation visible des formes politiques, mais une reconfiguration plus discrète de leurs conditions d’effectivité. Ce déplacement appelle un autre langage. Non pas un mot de plus dans une série — mais un geste de pensée qui permette de reconfigurer les coordonnées même à partir desquelles nous pourrions analyser ce qui fait tenir les mondes. Ce changement de condition politique n’est pas une abstraction. Il s’est incarné historiquement, idéologiquement, structurellement. Et l’un de ses vecteurs majeurs — rarement interrogé comme tel — fut le tournant néolibéral du XXᵉ siècle.</w:t>
      </w:r>
    </w:p>
    <w:p>
      <w:pPr>
        <w:pStyle w:val="BodyText"/>
      </w:pPr>
      <w:r>
        <w:t xml:space="preserve">Avec son avènement, ce qui mute, c’est la fabrique même de la régulation. Ce qui s’est déplacé, ce sont les modalités par lesquelles un ordre devient opérant, ajusté, imposable — sans jamais se dire tel. Le néolibéralisme, en ce sens, décompose les conditions mêmes de la conflictualité démocratique. Il n’a pas réduit les règles : il a effacé les lieux de confrontation où l’on pouvait encore les contester. Il a opéré une reconfiguration des coordonnées fondamentales du politique :</w:t>
      </w:r>
      <w:r>
        <w:t xml:space="preserve"> </w:t>
      </w:r>
      <w:r>
        <w:rPr>
          <w:i/>
          <w:iCs/>
        </w:rPr>
        <w:t xml:space="preserve">qui agit ? selon quelles justifications ? selon quels formats ? Et où peut-on encore l’interroger ?</w:t>
      </w:r>
    </w:p>
    <w:p>
      <w:pPr>
        <w:pStyle w:val="BodyText"/>
      </w:pPr>
      <w:r>
        <w:t xml:space="preserve">Nous voici donc à l’orée d’un tournant : plus encore qu’un langage politique qui s’épuise, ce sont les gestes mêmes qui permettaient de nommer, de rendre visible, de mettre à l’épreuve les régulations qui se défont. Il nous faut donc changer de focale. Non plus partir des régimes connus, des formes visibles du pouvoir, des catégories héritées, mais remonter au plus près des gestes primitifs qui configurent toute forme de régulation : ce qui fonde, ce qui fait agir, et ce qui articule les deux dans des formes tangibles, contestables, visibles et viables, susceptibles d’éclairer le mouvement évolutif des sociétés.</w:t>
      </w:r>
    </w:p>
    <w:p>
      <w:pPr>
        <w:pStyle w:val="BodyText"/>
      </w:pPr>
      <w:r>
        <w:t xml:space="preserve">Dans notre analyse, le moment néolibéral a précisément perturbé cette articulation. Il a introduit un brouillage entre l’origine du pouvoir et ses effets, entre ce qui autorise et ce qui contraint, entre ce qui se dit et ce qui agit. Et c’est dans ce brouillage que se loge aujourd’hui l’impensé du politique contemporain.</w:t>
      </w:r>
    </w:p>
    <w:p>
      <w:pPr>
        <w:pStyle w:val="BodyText"/>
      </w:pPr>
      <w:r>
        <w:t xml:space="preserve">Pour en sortir, il faut retrouver les gestes fondamentaux à partir desquels un monde collectif peut encore être rendu lisible et vivable. Ce geste, nous le nommons ici :</w:t>
      </w:r>
      <w:r>
        <w:t xml:space="preserve"> </w:t>
      </w:r>
      <w:r>
        <w:rPr>
          <w:i/>
          <w:iCs/>
        </w:rPr>
        <w:t xml:space="preserve">archéologie de la régulation</w:t>
      </w:r>
      <w:r>
        <w:t xml:space="preserve">. Si l’on veut comprendre ce qui se défait dans les régulations contemporaines — non pas de manière conjoncturelle, mais de façon structurelle —, il est impératif de remonter en amont des formes politiques connues, jusqu’aux forces sémantiques primitives que notre lexique transporte souvent à son insu.</w:t>
      </w:r>
    </w:p>
    <w:p>
      <w:pPr>
        <w:pStyle w:val="BodyText"/>
      </w:pPr>
      <w:r>
        <w:t xml:space="preserve">C’est en reprenant le fil depuis ses origines étymologiques que nous pourrons reconstituer la force d’arrachement de ces termes, les faire parler à nouveau — non comme vestiges, mais comme opérateurs toujours actifs, toujours présents, sous des formes multiples et plurielles. Ce détour par la langue n’est pas un exercice érudit. C’est une tentative de réaccorder le langage à l’expérience vécue, de ressaisir les prises fondamentales du pouvoir à travers leurs gestes constituants et fondateurs.</w:t>
      </w:r>
    </w:p>
    <w:p>
      <w:pPr>
        <w:pStyle w:val="BodyText"/>
      </w:pPr>
      <w:r>
        <w:t xml:space="preserve">Ainsi, les suffixes en</w:t>
      </w:r>
      <w:r>
        <w:t xml:space="preserve"> </w:t>
      </w:r>
      <w:r>
        <w:rPr>
          <w:i/>
          <w:iCs/>
        </w:rPr>
        <w:t xml:space="preserve">-archie</w:t>
      </w:r>
      <w:r>
        <w:t xml:space="preserve"> </w:t>
      </w:r>
      <w:r>
        <w:t xml:space="preserve">et en</w:t>
      </w:r>
      <w:r>
        <w:t xml:space="preserve"> </w:t>
      </w:r>
      <w:r>
        <w:rPr>
          <w:i/>
          <w:iCs/>
        </w:rPr>
        <w:t xml:space="preserve">-cratie</w:t>
      </w:r>
      <w:r>
        <w:t xml:space="preserve">, que nous avons évoqués plus haut comme désignations de régimes, sont bien plus que des marqueurs grammaticaux, ils condensent des opérations fondamentales du politique. Plus précisément, ils signalent deux gestes constitutifs et irréductibles dans toute structuration collective :</w:t>
      </w:r>
      <w:r>
        <w:t xml:space="preserve"> </w:t>
      </w:r>
      <w:r>
        <w:rPr>
          <w:i/>
          <w:iCs/>
        </w:rPr>
        <w:t xml:space="preserve">celui du fondement</w:t>
      </w:r>
      <w:r>
        <w:t xml:space="preserve"> </w:t>
      </w:r>
      <w:r>
        <w:t xml:space="preserve">(</w:t>
      </w:r>
      <w:r>
        <w:rPr>
          <w:i/>
          <w:iCs/>
        </w:rPr>
        <w:t xml:space="preserve">arkhè</w:t>
      </w:r>
      <w:r>
        <w:t xml:space="preserve">)</w:t>
      </w:r>
      <w:r>
        <w:t xml:space="preserve"> </w:t>
      </w:r>
      <w:r>
        <w:rPr>
          <w:i/>
          <w:iCs/>
        </w:rPr>
        <w:t xml:space="preserve">et celui de l’exercice</w:t>
      </w:r>
      <w:r>
        <w:t xml:space="preserve"> </w:t>
      </w:r>
      <w:r>
        <w:t xml:space="preserve">(</w:t>
      </w:r>
      <w:r>
        <w:rPr>
          <w:i/>
          <w:iCs/>
        </w:rPr>
        <w:t xml:space="preserve">kratos</w:t>
      </w:r>
      <w:r>
        <w:t xml:space="preserve">). Le premier désigne l’</w:t>
      </w:r>
      <w:r>
        <w:rPr>
          <w:i/>
          <w:iCs/>
        </w:rPr>
        <w:t xml:space="preserve">origine légitime</w:t>
      </w:r>
      <w:r>
        <w:t xml:space="preserve"> </w:t>
      </w:r>
      <w:r>
        <w:t xml:space="preserve">; le second, la</w:t>
      </w:r>
      <w:r>
        <w:t xml:space="preserve"> </w:t>
      </w:r>
      <w:r>
        <w:rPr>
          <w:i/>
          <w:iCs/>
        </w:rPr>
        <w:t xml:space="preserve">puissance agissante</w:t>
      </w:r>
      <w:r>
        <w:t xml:space="preserve">. Mais dans leur réduction lexicale, ces deux gestes ont été figés et dissociés en formes de régime, perdant de vue leur fonction dynamique et conjointe dans tout ordre social :</w:t>
      </w:r>
      <w:r>
        <w:t xml:space="preserve"> </w:t>
      </w:r>
      <w:r>
        <w:rPr>
          <w:i/>
          <w:iCs/>
        </w:rPr>
        <w:t xml:space="preserve">fonder</w:t>
      </w:r>
      <w:r>
        <w:t xml:space="preserve"> </w:t>
      </w:r>
      <w:r>
        <w:t xml:space="preserve">et</w:t>
      </w:r>
      <w:r>
        <w:t xml:space="preserve"> </w:t>
      </w:r>
      <w:r>
        <w:rPr>
          <w:i/>
          <w:iCs/>
        </w:rPr>
        <w:t xml:space="preserve">faire agir.</w:t>
      </w:r>
      <w:r>
        <w:t xml:space="preserve"> </w:t>
      </w:r>
      <w:r>
        <w:t xml:space="preserve">C’est pour restituer leur opérativité conceptuelle que nous introduisons ici les termes d’</w:t>
      </w:r>
      <w:r>
        <w:rPr>
          <w:i/>
          <w:iCs/>
        </w:rPr>
        <w:t xml:space="preserve">arcalité</w:t>
      </w:r>
      <w:r>
        <w:t xml:space="preserve"> </w:t>
      </w:r>
      <w:r>
        <w:t xml:space="preserve">et de</w:t>
      </w:r>
      <w:r>
        <w:t xml:space="preserve"> </w:t>
      </w:r>
      <w:r>
        <w:rPr>
          <w:i/>
          <w:iCs/>
        </w:rPr>
        <w:t xml:space="preserve">cratialité</w:t>
      </w:r>
      <w:r>
        <w:t xml:space="preserve">.</w:t>
      </w:r>
    </w:p>
    <w:p>
      <w:pPr>
        <w:pStyle w:val="BodyText"/>
      </w:pPr>
      <w:r>
        <w:t xml:space="preserve">Par arcalité, nous entendons ce qui, dans une configuration donnée, fonctionne comme principe effectif de légitimation d’un ordre, qu’il soit explicite ou tacite, juridique, symbolique, narratif, technique ou calculatoire. Le terme, quitte à nous répéter, est construit à partir de la racine grecque</w:t>
      </w:r>
      <w:r>
        <w:t xml:space="preserve"> </w:t>
      </w:r>
      <w:r>
        <w:rPr>
          <w:i/>
          <w:iCs/>
        </w:rPr>
        <w:t xml:space="preserve">arkhè</w:t>
      </w:r>
      <w:r>
        <w:t xml:space="preserve"> </w:t>
      </w:r>
      <w:r>
        <w:t xml:space="preserve">(ἀρχή), qui — comme nous l’avons vu précédemment — désigne dans un même mouvement le commencement, le commandement et le fondement. Ce triple sens — d’origine, de légitimation et d’autorité — est au cœur des opérations symboliques à travers lesquelles les sociétés humaines tentent de rendre leur ordre acceptable, de justifier leurs hiérarchies, de naturaliser leurs choix.</w:t>
      </w:r>
    </w:p>
    <w:p>
      <w:pPr>
        <w:pStyle w:val="BodyText"/>
      </w:pPr>
      <w:r>
        <w:t xml:space="preserve">Il ne s’agit donc pas d’une réalité substantielle, mais d’un acte d’instauration, d’un arc de légitimation, d’un marqueur de crédit : toute</w:t>
      </w:r>
      <w:r>
        <w:t xml:space="preserve"> </w:t>
      </w:r>
      <w:r>
        <w:rPr>
          <w:i/>
          <w:iCs/>
        </w:rPr>
        <w:t xml:space="preserve">arcalité</w:t>
      </w:r>
      <w:r>
        <w:t xml:space="preserve"> </w:t>
      </w:r>
      <w:r>
        <w:t xml:space="preserve">est un</w:t>
      </w:r>
      <w:r>
        <w:t xml:space="preserve"> </w:t>
      </w:r>
      <w:r>
        <w:rPr>
          <w:i/>
          <w:iCs/>
        </w:rPr>
        <w:t xml:space="preserve">geste de production de l’autorité</w:t>
      </w:r>
      <w:r>
        <w:t xml:space="preserve">, qu’elle se fonde sur la révélation divine, sur la tradition des ancêtres, sur la puissance d’un nom de famille, sur la volonté générale, sur les données empiriques, sur des décrets ou des lois, sur l’efficience calculée ou sur la science algorithmique. Ce terme est polysémique dans son usage.</w:t>
      </w:r>
    </w:p>
    <w:p>
      <w:pPr>
        <w:pStyle w:val="BodyText"/>
      </w:pPr>
      <w:r>
        <w:t xml:space="preserve">Dans la pensée grecque ancienne, l’</w:t>
      </w:r>
      <w:r>
        <w:rPr>
          <w:i/>
          <w:iCs/>
        </w:rPr>
        <w:t xml:space="preserve">arkhè</w:t>
      </w:r>
      <w:r>
        <w:t xml:space="preserve"> </w:t>
      </w:r>
      <w:r>
        <w:t xml:space="preserve">n’était pas une figure du pouvoir, mais un principe d’intelligibilité du cosmos et de la cité. Pour Anaximandre, par exemple, l’</w:t>
      </w:r>
      <w:r>
        <w:rPr>
          <w:i/>
          <w:iCs/>
        </w:rPr>
        <w:t xml:space="preserve">arkhè</w:t>
      </w:r>
      <w:r>
        <w:t xml:space="preserve"> </w:t>
      </w:r>
      <w:r>
        <w:t xml:space="preserve">est ce qui donne forme et cohérence au monde — ce par quoi tout commence et à quoi tout revient. Chez Aristote, elle devient aussi principe logique, cause première, source de mouvement. Transposée dans l’ordre politique, elle désigne</w:t>
      </w:r>
      <w:r>
        <w:t xml:space="preserve"> </w:t>
      </w:r>
      <w:r>
        <w:rPr>
          <w:i/>
          <w:iCs/>
        </w:rPr>
        <w:t xml:space="preserve">ce qui autorise un pouvoir à se dire tel, ce à partir de quoi il peut être reconnu, accepté, toléré, voire vénéré</w:t>
      </w:r>
      <w:r>
        <w:t xml:space="preserve">. C’est dans ce sens que</w:t>
      </w:r>
      <w:r>
        <w:t xml:space="preserve"> </w:t>
      </w:r>
      <w:r>
        <w:rPr>
          <w:i/>
          <w:iCs/>
        </w:rPr>
        <w:t xml:space="preserve">la monarchie</w:t>
      </w:r>
      <w:r>
        <w:t xml:space="preserve"> </w:t>
      </w:r>
      <w:r>
        <w:t xml:space="preserve">(le pouvoir d’un seul) ou</w:t>
      </w:r>
      <w:r>
        <w:t xml:space="preserve"> </w:t>
      </w:r>
      <w:r>
        <w:rPr>
          <w:i/>
          <w:iCs/>
        </w:rPr>
        <w:t xml:space="preserve">l’oligarchie</w:t>
      </w:r>
      <w:r>
        <w:t xml:space="preserve"> </w:t>
      </w:r>
      <w:r>
        <w:t xml:space="preserve">(le pouvoir de quelques-uns) sont fondées sur un principe d’</w:t>
      </w:r>
      <w:r>
        <w:rPr>
          <w:i/>
          <w:iCs/>
        </w:rPr>
        <w:t xml:space="preserve">arkhè</w:t>
      </w:r>
      <w:r>
        <w:t xml:space="preserve">, qu’il s’agisse de droit divin, de naissance, de mérite ou de savoir. Mais une</w:t>
      </w:r>
      <w:r>
        <w:t xml:space="preserve"> </w:t>
      </w:r>
      <w:r>
        <w:rPr>
          <w:i/>
          <w:iCs/>
        </w:rPr>
        <w:t xml:space="preserve">arcalité</w:t>
      </w:r>
      <w:r>
        <w:t xml:space="preserve"> </w:t>
      </w:r>
      <w:r>
        <w:t xml:space="preserve">n’est pas forcément une doctrine : elle peut être une forme implicite d’</w:t>
      </w:r>
      <w:r>
        <w:rPr>
          <w:i/>
          <w:iCs/>
        </w:rPr>
        <w:t xml:space="preserve">évidence sociale</w:t>
      </w:r>
      <w:r>
        <w:t xml:space="preserve">, un</w:t>
      </w:r>
      <w:r>
        <w:t xml:space="preserve"> </w:t>
      </w:r>
      <w:r>
        <w:rPr>
          <w:i/>
          <w:iCs/>
        </w:rPr>
        <w:t xml:space="preserve">consentement tacite intériorisé</w:t>
      </w:r>
      <w:r>
        <w:t xml:space="preserve">.</w:t>
      </w:r>
    </w:p>
    <w:p>
      <w:pPr>
        <w:pStyle w:val="BodyText"/>
      </w:pPr>
      <w:r>
        <w:t xml:space="preserve">Alors pourquoi introduire le mot</w:t>
      </w:r>
      <w:r>
        <w:t xml:space="preserve"> </w:t>
      </w:r>
      <w:r>
        <w:rPr>
          <w:i/>
          <w:iCs/>
        </w:rPr>
        <w:t xml:space="preserve">arcalité</w:t>
      </w:r>
      <w:r>
        <w:t xml:space="preserve">, au risque du néologisme ? Parce qu’à nos yeux, aucun autre terme ne permet de désigner avec suffisamment de précision, de plasticité et de portée opératoire ce qui constitue le noyau de légitimation des dispositifs de pouvoir. Le mot</w:t>
      </w:r>
      <w:r>
        <w:t xml:space="preserve"> </w:t>
      </w:r>
      <w:r>
        <w:rPr>
          <w:i/>
          <w:iCs/>
        </w:rPr>
        <w:t xml:space="preserve">autorité</w:t>
      </w:r>
      <w:r>
        <w:t xml:space="preserve"> </w:t>
      </w:r>
      <w:r>
        <w:t xml:space="preserve">est trop général.</w:t>
      </w:r>
      <w:r>
        <w:t xml:space="preserve"> </w:t>
      </w:r>
      <w:r>
        <w:rPr>
          <w:i/>
          <w:iCs/>
        </w:rPr>
        <w:t xml:space="preserve">Légitimité</w:t>
      </w:r>
      <w:r>
        <w:t xml:space="preserve"> </w:t>
      </w:r>
      <w:r>
        <w:t xml:space="preserve">est trop juridique.</w:t>
      </w:r>
      <w:r>
        <w:t xml:space="preserve"> </w:t>
      </w:r>
      <w:r>
        <w:rPr>
          <w:i/>
          <w:iCs/>
        </w:rPr>
        <w:t xml:space="preserve">Fondement</w:t>
      </w:r>
      <w:r>
        <w:t xml:space="preserve"> </w:t>
      </w:r>
      <w:r>
        <w:t xml:space="preserve">est trop théologique ou métaphysique.</w:t>
      </w:r>
      <w:r>
        <w:t xml:space="preserve"> </w:t>
      </w:r>
      <w:r>
        <w:rPr>
          <w:i/>
          <w:iCs/>
        </w:rPr>
        <w:t xml:space="preserve">Source</w:t>
      </w:r>
      <w:r>
        <w:t xml:space="preserve"> </w:t>
      </w:r>
      <w:r>
        <w:t xml:space="preserve">ou</w:t>
      </w:r>
      <w:r>
        <w:t xml:space="preserve"> </w:t>
      </w:r>
      <w:r>
        <w:rPr>
          <w:i/>
          <w:iCs/>
        </w:rPr>
        <w:t xml:space="preserve">origine</w:t>
      </w:r>
      <w:r>
        <w:t xml:space="preserve"> </w:t>
      </w:r>
      <w:r>
        <w:t xml:space="preserve">sont trop historicistes. Or, ce que nous cherchons à nommer, ce n’est pas ce qui est vrai, ni même ce qui est légitime en soi, mais</w:t>
      </w:r>
      <w:r>
        <w:t xml:space="preserve"> </w:t>
      </w:r>
      <w:r>
        <w:rPr>
          <w:i/>
          <w:iCs/>
        </w:rPr>
        <w:t xml:space="preserve">ce qui fonctionne comme légitimation dans un contexte donné</w:t>
      </w:r>
      <w:r>
        <w:t xml:space="preserve"> </w:t>
      </w:r>
      <w:r>
        <w:t xml:space="preserve">— ce qui est reconnu, assumé ou subi comme</w:t>
      </w:r>
      <w:r>
        <w:t xml:space="preserve"> </w:t>
      </w:r>
      <w:r>
        <w:rPr>
          <w:i/>
          <w:iCs/>
        </w:rPr>
        <w:t xml:space="preserve">ce à partir de quoi un pouvoir peut s’exercer</w:t>
      </w:r>
      <w:r>
        <w:t xml:space="preserve"> </w:t>
      </w:r>
      <w:r>
        <w:t xml:space="preserve">sans être immédiatement remis en cause.</w:t>
      </w:r>
    </w:p>
    <w:p>
      <w:pPr>
        <w:pStyle w:val="BodyText"/>
      </w:pPr>
      <w:r>
        <w:t xml:space="preserve">L’</w:t>
      </w:r>
      <w:r>
        <w:rPr>
          <w:i/>
          <w:iCs/>
        </w:rPr>
        <w:t xml:space="preserve">arcalité</w:t>
      </w:r>
      <w:r>
        <w:t xml:space="preserve"> </w:t>
      </w:r>
      <w:r>
        <w:t xml:space="preserve">est donc un concept transversal et multiple : elle traverse les époques, les cultures, les régimes — tout en changeant de visage et de figures. Elle peut prendre la forme d’un texte sacré, d’un contrat social, d’une Constitution, d’un mythe fondateur, d’une promesse technoscientifique, ou même d’un jeu d’indicateurs économiques. Elle peut être verticalement imposée ou horizontalement négociée. Elle peut être stabilisée dans le droit ou émerger dans la rue. Mais dans tous les cas, elle opère comme ce qui justifie le pouvoir, ce qui lui donne son aura d’évidence, ce qui naturalise ses opérations en les rendant pensables et acceptables.</w:t>
      </w:r>
    </w:p>
    <w:p>
      <w:pPr>
        <w:pStyle w:val="BodyText"/>
      </w:pPr>
      <w:r>
        <w:t xml:space="preserve">Mais au-delà de ces premières assertions, l’arcalité se présente aussi comme un outil épistémologique pour l’analyse des régimes de légitimation — elle peut servir d’opérateur heuristique pour lire les sociétés dans leurs structures de croyance, de reconnaissance, de justification. Elle permet d’analyser des situations aussi différentes que la réforme d’un système de retraite, le recours à une IA dans la sélection universitaire ou la fondation d’un État théocratique, non pas en fonction de leur contenu normatif, mais en fonction de ce qui est supposé justifier leur existence et de ce qui les autorise à s’imposer.</w:t>
      </w:r>
    </w:p>
    <w:p>
      <w:pPr>
        <w:pStyle w:val="BodyText"/>
      </w:pPr>
      <w:r>
        <w:t xml:space="preserve">Pour commencer à en saisir la portée, il nous faut sommairement déplier l’</w:t>
      </w:r>
      <w:r>
        <w:rPr>
          <w:i/>
          <w:iCs/>
        </w:rPr>
        <w:t xml:space="preserve">arcalité</w:t>
      </w:r>
      <w:r>
        <w:t xml:space="preserve"> </w:t>
      </w:r>
      <w:r>
        <w:t xml:space="preserve">dans ses déclinaisons historiques et symboliques. Elle ne renvoie pas à un type de régime, mais à</w:t>
      </w:r>
      <w:r>
        <w:t xml:space="preserve"> </w:t>
      </w:r>
      <w:r>
        <w:rPr>
          <w:i/>
          <w:iCs/>
        </w:rPr>
        <w:t xml:space="preserve">ce qui autorise un pouvoir à s’exercer sans être récusé</w:t>
      </w:r>
      <w:r>
        <w:t xml:space="preserve"> </w:t>
      </w:r>
      <w:r>
        <w:t xml:space="preserve">: une scène de légitimation, explicite ou tacite. Ainsi, sous l’Ancien Régime, l’autorité du roi n’était pas justifiée par sa compétence, mais par une</w:t>
      </w:r>
      <w:r>
        <w:t xml:space="preserve"> </w:t>
      </w:r>
      <w:r>
        <w:rPr>
          <w:i/>
          <w:iCs/>
        </w:rPr>
        <w:t xml:space="preserve">sacralité divine incarnée dans le sang, la lignée, le rite</w:t>
      </w:r>
      <w:r>
        <w:t xml:space="preserve"> </w:t>
      </w:r>
      <w:r>
        <w:t xml:space="preserve">— une</w:t>
      </w:r>
      <w:r>
        <w:t xml:space="preserve"> </w:t>
      </w:r>
      <w:r>
        <w:rPr>
          <w:i/>
          <w:iCs/>
        </w:rPr>
        <w:t xml:space="preserve">arcalité théologico-politique</w:t>
      </w:r>
      <w:r>
        <w:t xml:space="preserve"> </w:t>
      </w:r>
      <w:r>
        <w:t xml:space="preserve">où l’</w:t>
      </w:r>
      <w:r>
        <w:rPr>
          <w:i/>
          <w:iCs/>
        </w:rPr>
        <w:t xml:space="preserve">arkhè</w:t>
      </w:r>
      <w:r>
        <w:t xml:space="preserve"> </w:t>
      </w:r>
      <w:r>
        <w:t xml:space="preserve">se vivait du trône jusqu’à l’autel.</w:t>
      </w:r>
    </w:p>
    <w:p>
      <w:pPr>
        <w:pStyle w:val="BodyText"/>
      </w:pPr>
      <w:r>
        <w:t xml:space="preserve">À Rome, l’</w:t>
      </w:r>
      <w:r>
        <w:rPr>
          <w:i/>
          <w:iCs/>
        </w:rPr>
        <w:t xml:space="preserve">arcalité</w:t>
      </w:r>
      <w:r>
        <w:t xml:space="preserve"> </w:t>
      </w:r>
      <w:r>
        <w:t xml:space="preserve">pouvait se loger dans le</w:t>
      </w:r>
      <w:r>
        <w:t xml:space="preserve"> </w:t>
      </w:r>
      <w:r>
        <w:rPr>
          <w:i/>
          <w:iCs/>
        </w:rPr>
        <w:t xml:space="preserve">mos maiorum</w:t>
      </w:r>
      <w:r>
        <w:t xml:space="preserve">, cette mémoire des ancêtres qui n’avait pas besoin de s’écrire pour s’imposer. Elle se transmettait par la répétition des gestes, la reprise des rituels, la reproduction des conduites fondatrices. Plus qu’un corpus de lois codifiées, c’était une continuité opérante, un fil invisible bien que contraignant, qui obligeait chacun non parce qu’un texte le disait, mais parce qu’une</w:t>
      </w:r>
      <w:r>
        <w:t xml:space="preserve"> </w:t>
      </w:r>
      <w:r>
        <w:rPr>
          <w:i/>
          <w:iCs/>
        </w:rPr>
        <w:t xml:space="preserve">tradition vivante</w:t>
      </w:r>
      <w:r>
        <w:t xml:space="preserve"> </w:t>
      </w:r>
      <w:r>
        <w:t xml:space="preserve">le réactivait dans chaque pratique. L’autorité se rejouait dans l’acte même, dans la persistance d’un style collectif, plus que dans une règle explicitement énoncée.</w:t>
      </w:r>
    </w:p>
    <w:p>
      <w:pPr>
        <w:pStyle w:val="BodyText"/>
      </w:pPr>
      <w:r>
        <w:t xml:space="preserve">Avec la modernité politique, un autre geste s’invente : l’</w:t>
      </w:r>
      <w:r>
        <w:rPr>
          <w:i/>
          <w:iCs/>
        </w:rPr>
        <w:t xml:space="preserve">arcalité</w:t>
      </w:r>
      <w:r>
        <w:t xml:space="preserve"> </w:t>
      </w:r>
      <w:r>
        <w:t xml:space="preserve">devient</w:t>
      </w:r>
      <w:r>
        <w:t xml:space="preserve"> </w:t>
      </w:r>
      <w:r>
        <w:rPr>
          <w:i/>
          <w:iCs/>
        </w:rPr>
        <w:t xml:space="preserve">récit contractuel</w:t>
      </w:r>
      <w:r>
        <w:t xml:space="preserve">. Hobbes, Locke ou Rousseau projettent l’image d’un pacte inaugural entre égaux libres, d’un</w:t>
      </w:r>
      <w:r>
        <w:t xml:space="preserve"> </w:t>
      </w:r>
      <w:r>
        <w:rPr>
          <w:i/>
          <w:iCs/>
        </w:rPr>
        <w:t xml:space="preserve">contrat social</w:t>
      </w:r>
      <w:r>
        <w:t xml:space="preserve"> </w:t>
      </w:r>
      <w:r>
        <w:t xml:space="preserve">qui, bien qu’il n’ait jamais été historiquement conclu, institue l’ordre en lui donnant un mythe d’origine. Peu importe que ce contrat soit fictif : il agit comme s’il avait existé, et c’est précisément cette fiction qui fonde la légitimité moderne. L’</w:t>
      </w:r>
      <w:r>
        <w:rPr>
          <w:i/>
          <w:iCs/>
        </w:rPr>
        <w:t xml:space="preserve">arcalité</w:t>
      </w:r>
      <w:r>
        <w:t xml:space="preserve">, désormais, ne s’incarne plus seulement dans la répétition des pratiques, mais dans la</w:t>
      </w:r>
      <w:r>
        <w:t xml:space="preserve"> </w:t>
      </w:r>
      <w:r>
        <w:rPr>
          <w:i/>
          <w:iCs/>
        </w:rPr>
        <w:t xml:space="preserve">puissance narrative d’un contrat raconté</w:t>
      </w:r>
      <w:r>
        <w:t xml:space="preserve">.</w:t>
      </w:r>
    </w:p>
    <w:p>
      <w:pPr>
        <w:pStyle w:val="BodyText"/>
      </w:pPr>
      <w:r>
        <w:t xml:space="preserve">Aujourd’hui, d’autres</w:t>
      </w:r>
      <w:r>
        <w:t xml:space="preserve"> </w:t>
      </w:r>
      <w:r>
        <w:rPr>
          <w:i/>
          <w:iCs/>
        </w:rPr>
        <w:t xml:space="preserve">arcalités</w:t>
      </w:r>
      <w:r>
        <w:t xml:space="preserve"> </w:t>
      </w:r>
      <w:r>
        <w:t xml:space="preserve">se font jour, parfois là où on ne les attend pas.</w:t>
      </w:r>
    </w:p>
    <w:p>
      <w:pPr>
        <w:pStyle w:val="BodyText"/>
      </w:pPr>
      <w:r>
        <w:t xml:space="preserve">Ainsi, dans la</w:t>
      </w:r>
      <w:r>
        <w:t xml:space="preserve"> </w:t>
      </w:r>
      <w:r>
        <w:rPr>
          <w:i/>
          <w:iCs/>
        </w:rPr>
        <w:t xml:space="preserve">Déclaration des droits de la Pachamama</w:t>
      </w:r>
      <w:r>
        <w:t xml:space="preserve"> </w:t>
      </w:r>
      <w:r>
        <w:t xml:space="preserve">(Bolivie, 2010), la Terre elle-même est instituée comme</w:t>
      </w:r>
      <w:r>
        <w:t xml:space="preserve"> </w:t>
      </w:r>
      <w:r>
        <w:rPr>
          <w:i/>
          <w:iCs/>
        </w:rPr>
        <w:t xml:space="preserve">source normative</w:t>
      </w:r>
      <w:r>
        <w:t xml:space="preserve">. La planète, envisagée comme sujet de droit, devient figure d’</w:t>
      </w:r>
      <w:r>
        <w:rPr>
          <w:i/>
          <w:iCs/>
        </w:rPr>
        <w:t xml:space="preserve">arkhè</w:t>
      </w:r>
      <w:r>
        <w:t xml:space="preserve"> </w:t>
      </w:r>
      <w:r>
        <w:t xml:space="preserve">: principe fondateur d’un ordre politique et juridique qui se justifie par la nature, le vivant et la mémoire écologique. Ici, l’</w:t>
      </w:r>
      <w:r>
        <w:rPr>
          <w:i/>
          <w:iCs/>
        </w:rPr>
        <w:t xml:space="preserve">arcalité</w:t>
      </w:r>
      <w:r>
        <w:t xml:space="preserve"> </w:t>
      </w:r>
      <w:r>
        <w:t xml:space="preserve">prend la forme d’une</w:t>
      </w:r>
      <w:r>
        <w:t xml:space="preserve"> </w:t>
      </w:r>
      <w:r>
        <w:rPr>
          <w:i/>
          <w:iCs/>
        </w:rPr>
        <w:t xml:space="preserve">sacralisation de la Terre-mère</w:t>
      </w:r>
      <w:r>
        <w:t xml:space="preserve">, traduite en langage constitutionnel, et ouvre la possibilité d’un autre type de fondement, ni théologique, ni contractuel, mais cosmologique.</w:t>
      </w:r>
    </w:p>
    <w:p>
      <w:pPr>
        <w:pStyle w:val="BodyText"/>
      </w:pPr>
      <w:r>
        <w:t xml:space="preserve">Dans les technostructures contemporaines, comme les agences de notation, les protocoles de régulation algorithmique, ou les plateformes numériques, l’</w:t>
      </w:r>
      <w:r>
        <w:rPr>
          <w:i/>
          <w:iCs/>
        </w:rPr>
        <w:t xml:space="preserve">arcalité</w:t>
      </w:r>
      <w:r>
        <w:t xml:space="preserve"> </w:t>
      </w:r>
      <w:r>
        <w:t xml:space="preserve">devient</w:t>
      </w:r>
      <w:r>
        <w:t xml:space="preserve"> </w:t>
      </w:r>
      <w:r>
        <w:rPr>
          <w:i/>
          <w:iCs/>
        </w:rPr>
        <w:t xml:space="preserve">data</w:t>
      </w:r>
      <w:r>
        <w:t xml:space="preserve"> </w:t>
      </w:r>
      <w:r>
        <w:t xml:space="preserve">: ce sont les chiffres, les indicateurs, les modèles prédictifs qui justifient l’action. L’autorité repose sur la</w:t>
      </w:r>
      <w:r>
        <w:t xml:space="preserve"> </w:t>
      </w:r>
      <w:r>
        <w:rPr>
          <w:i/>
          <w:iCs/>
        </w:rPr>
        <w:t xml:space="preserve">robustesse du calcul</w:t>
      </w:r>
      <w:r>
        <w:t xml:space="preserve">, la</w:t>
      </w:r>
      <w:r>
        <w:t xml:space="preserve"> </w:t>
      </w:r>
      <w:r>
        <w:rPr>
          <w:i/>
          <w:iCs/>
        </w:rPr>
        <w:t xml:space="preserve">neutralité supposée du code</w:t>
      </w:r>
      <w:r>
        <w:t xml:space="preserve">, la</w:t>
      </w:r>
      <w:r>
        <w:t xml:space="preserve"> </w:t>
      </w:r>
      <w:r>
        <w:rPr>
          <w:i/>
          <w:iCs/>
        </w:rPr>
        <w:t xml:space="preserve">précision des seuils</w:t>
      </w:r>
      <w:r>
        <w:t xml:space="preserve">. Ce que Yuval Noah Harari (</w:t>
      </w:r>
      <w:r>
        <w:rPr>
          <w:i/>
          <w:iCs/>
        </w:rPr>
        <w:t xml:space="preserve">Homo deus, une brève histoire du futur</w:t>
      </w:r>
      <w:r>
        <w:t xml:space="preserve">, 2017) appelle le “</w:t>
      </w:r>
      <w:r>
        <w:rPr>
          <w:i/>
          <w:iCs/>
        </w:rPr>
        <w:t xml:space="preserve">dataïsme”</w:t>
      </w:r>
      <w:r>
        <w:t xml:space="preserve"> </w:t>
      </w:r>
      <w:r>
        <w:t xml:space="preserve">en est une figure actualisée exemplaire, où le flux des données devient source même de vérités.</w:t>
      </w:r>
    </w:p>
    <w:p>
      <w:pPr>
        <w:pStyle w:val="BodyText"/>
      </w:pPr>
      <w:r>
        <w:t xml:space="preserve">Enfin, dans certaines configurations capitalistiques contemporaines, l’</w:t>
      </w:r>
      <w:r>
        <w:rPr>
          <w:i/>
          <w:iCs/>
        </w:rPr>
        <w:t xml:space="preserve">arcalité</w:t>
      </w:r>
      <w:r>
        <w:t xml:space="preserve"> </w:t>
      </w:r>
      <w:r>
        <w:t xml:space="preserve">prend une forme radicalement</w:t>
      </w:r>
      <w:r>
        <w:t xml:space="preserve"> </w:t>
      </w:r>
      <w:r>
        <w:rPr>
          <w:i/>
          <w:iCs/>
        </w:rPr>
        <w:t xml:space="preserve">autoréférentielle</w:t>
      </w:r>
      <w:r>
        <w:t xml:space="preserve"> </w:t>
      </w:r>
      <w:r>
        <w:t xml:space="preserve">: elle ne s’appuie plus sur une extériorité normative, ni même sur une validation juridique ou démocratique, mais sur la seule</w:t>
      </w:r>
      <w:r>
        <w:t xml:space="preserve"> </w:t>
      </w:r>
      <w:r>
        <w:rPr>
          <w:i/>
          <w:iCs/>
        </w:rPr>
        <w:t xml:space="preserve">performance passée érigée en légitimité présente</w:t>
      </w:r>
      <w:r>
        <w:t xml:space="preserve">. C’est ce que l’on pourrait appeler une</w:t>
      </w:r>
      <w:r>
        <w:t xml:space="preserve"> </w:t>
      </w:r>
      <w:r>
        <w:rPr>
          <w:i/>
          <w:iCs/>
        </w:rPr>
        <w:t xml:space="preserve">arcalité autogénérative</w:t>
      </w:r>
      <w:r>
        <w:t xml:space="preserve">, où le succès ne demande plus de justification externe — il en révèle sa propre preuve. Une entreprise qui attire des investissements massifs, une plateforme dont la valorisation boursière croît de manière exponentielle, une</w:t>
      </w:r>
      <w:r>
        <w:t xml:space="preserve"> </w:t>
      </w:r>
      <w:r>
        <w:rPr>
          <w:i/>
          <w:iCs/>
        </w:rPr>
        <w:t xml:space="preserve">startup</w:t>
      </w:r>
      <w:r>
        <w:t xml:space="preserve"> </w:t>
      </w:r>
      <w:r>
        <w:t xml:space="preserve">qui atteint le statut de “licorne” (plus d’un milliard de dollars de capitalisation), n’a plus besoin de se légitimer par une utilité sociale, une finalité collective ou un adossement institutionnel :</w:t>
      </w:r>
      <w:r>
        <w:t xml:space="preserve"> </w:t>
      </w:r>
      <w:r>
        <w:rPr>
          <w:i/>
          <w:iCs/>
        </w:rPr>
        <w:t xml:space="preserve">le simple fait d’avoir réussi</w:t>
      </w:r>
      <w:r>
        <w:t xml:space="preserve"> </w:t>
      </w:r>
      <w:r>
        <w:t xml:space="preserve">suffit à valider l’ensemble des choix stratégiques. Elle s’impose précisément parce qu’elle se donne à voir comme ayant</w:t>
      </w:r>
      <w:r>
        <w:t xml:space="preserve"> </w:t>
      </w:r>
      <w:r>
        <w:rPr>
          <w:i/>
          <w:iCs/>
        </w:rPr>
        <w:t xml:space="preserve">toujours déjà</w:t>
      </w:r>
      <w:r>
        <w:t xml:space="preserve"> </w:t>
      </w:r>
      <w:r>
        <w:t xml:space="preserve">fonctionné.</w:t>
      </w:r>
    </w:p>
    <w:p>
      <w:pPr>
        <w:pStyle w:val="BodyText"/>
      </w:pPr>
      <w:r>
        <w:t xml:space="preserve">Mais l’arcalité, dans ses multiples manifestations, si décisive soit-elle, ne suffit pas à faire tenir un monde. Car un ordre social, quel qu’il soit, ne repose jamais uniquement sur les principes qui le légitiment. Il doit aussi pouvoir opérer, agir, décider, trancher, maintenir — parfois même contraindre ou punir. Il ne suffit pas qu’un pouvoir soit justifié ; encore faut-il qu’il se déploie, qu’il prenne forme dans des pratiques, des formats, des opérateurs. En somme, il ne suffit pas qu’un ordre se dise fondé ; il faut encore qu’il s’exerce.</w:t>
      </w:r>
    </w:p>
    <w:p>
      <w:pPr>
        <w:pStyle w:val="BodyText"/>
      </w:pPr>
      <w:r>
        <w:t xml:space="preserve">Il faut pour cela un autre registre, un autre plan de la régulation : celui de l’action. C’est ici qu’intervient ce que nous nommons la</w:t>
      </w:r>
      <w:r>
        <w:t xml:space="preserve"> </w:t>
      </w:r>
      <w:r>
        <w:rPr>
          <w:i/>
          <w:iCs/>
        </w:rPr>
        <w:t xml:space="preserve">cratialité</w:t>
      </w:r>
      <w:r>
        <w:t xml:space="preserve"> </w:t>
      </w:r>
      <w:r>
        <w:t xml:space="preserve">— terme forgé comme pour les régimes en -cratie — à partir de</w:t>
      </w:r>
      <w:r>
        <w:t xml:space="preserve"> </w:t>
      </w:r>
      <w:r>
        <w:rPr>
          <w:i/>
          <w:iCs/>
        </w:rPr>
        <w:t xml:space="preserve">kratos</w:t>
      </w:r>
      <w:r>
        <w:t xml:space="preserve"> </w:t>
      </w:r>
      <w:r>
        <w:t xml:space="preserve">(κράτος), qui désigne en grec ancien la force, la puissance agissante, la capacité à faire advenir quelque chose dans le réel. Si l’</w:t>
      </w:r>
      <w:r>
        <w:rPr>
          <w:i/>
          <w:iCs/>
        </w:rPr>
        <w:t xml:space="preserve">arcalité est ce qui autorise</w:t>
      </w:r>
      <w:r>
        <w:t xml:space="preserve">, la</w:t>
      </w:r>
      <w:r>
        <w:t xml:space="preserve"> </w:t>
      </w:r>
      <w:r>
        <w:rPr>
          <w:i/>
          <w:iCs/>
        </w:rPr>
        <w:t xml:space="preserve">cratialité est ce qui opère</w:t>
      </w:r>
      <w:r>
        <w:t xml:space="preserve">. L’une pose les conditions de validité, l’autre produit les effets. L’une fonde, l’autre exerce.</w:t>
      </w:r>
    </w:p>
    <w:p>
      <w:pPr>
        <w:pStyle w:val="BodyText"/>
      </w:pPr>
      <w:r>
        <w:t xml:space="preserve">Par</w:t>
      </w:r>
      <w:r>
        <w:t xml:space="preserve"> </w:t>
      </w:r>
      <w:r>
        <w:rPr>
          <w:i/>
          <w:iCs/>
        </w:rPr>
        <w:t xml:space="preserve">cratialité</w:t>
      </w:r>
      <w:r>
        <w:t xml:space="preserve">, nous entendons</w:t>
      </w:r>
      <w:r>
        <w:t xml:space="preserve"> </w:t>
      </w:r>
      <w:r>
        <w:rPr>
          <w:i/>
          <w:iCs/>
        </w:rPr>
        <w:t xml:space="preserve">ce qui agit concrètement dans le tissu des pratiques régulatrices</w:t>
      </w:r>
      <w:r>
        <w:t xml:space="preserve">, ce qui produit des effets sans forcément passer par une scène légitime, visible, ou symboliquement codifiée. C’est la face opératoire du pouvoir, son versant dynamique et actif ; autrement dit : sa</w:t>
      </w:r>
      <w:r>
        <w:t xml:space="preserve"> </w:t>
      </w:r>
      <w:r>
        <w:rPr>
          <w:i/>
          <w:iCs/>
        </w:rPr>
        <w:t xml:space="preserve">capacité d’effectuation</w:t>
      </w:r>
      <w:r>
        <w:t xml:space="preserve">. Tandis que l’</w:t>
      </w:r>
      <w:r>
        <w:rPr>
          <w:i/>
          <w:iCs/>
        </w:rPr>
        <w:t xml:space="preserve">arcalité</w:t>
      </w:r>
      <w:r>
        <w:t xml:space="preserve"> </w:t>
      </w:r>
      <w:r>
        <w:t xml:space="preserve">pose, fonde, encadre, la</w:t>
      </w:r>
      <w:r>
        <w:t xml:space="preserve"> </w:t>
      </w:r>
      <w:r>
        <w:rPr>
          <w:i/>
          <w:iCs/>
        </w:rPr>
        <w:t xml:space="preserve">cratialité</w:t>
      </w:r>
      <w:r>
        <w:t xml:space="preserve"> </w:t>
      </w:r>
      <w:r>
        <w:t xml:space="preserve">module, infléchit, dévie, ajuste, parfois de manière souterraine, parfois de manière spectaculaire.</w:t>
      </w:r>
    </w:p>
    <w:p>
      <w:pPr>
        <w:pStyle w:val="BodyText"/>
      </w:pPr>
      <w:r>
        <w:t xml:space="preserve">Ce qui justifie l’introduction du néologisme</w:t>
      </w:r>
      <w:r>
        <w:t xml:space="preserve"> </w:t>
      </w:r>
      <w:r>
        <w:rPr>
          <w:i/>
          <w:iCs/>
        </w:rPr>
        <w:t xml:space="preserve">cratialité</w:t>
      </w:r>
      <w:r>
        <w:t xml:space="preserve">, c’est précisément l’absence, dans le lexique politique courant, d’un mot qui désigne la force agissante sans forme nécessairement instituée, le pouvoir qui s’exerce sans forcément se nommer. Il nous fallait un terme qui capture cette modalité infra-institutionnelle, trans-opérationnelle, souvent désintriquée de toute légitimation formelle, mais dont les effets façonnent les conduites, les agencements et les structures.</w:t>
      </w:r>
    </w:p>
    <w:p>
      <w:pPr>
        <w:pStyle w:val="BodyText"/>
      </w:pPr>
      <w:r>
        <w:t xml:space="preserve">La</w:t>
      </w:r>
      <w:r>
        <w:t xml:space="preserve"> </w:t>
      </w:r>
      <w:r>
        <w:rPr>
          <w:i/>
          <w:iCs/>
        </w:rPr>
        <w:t xml:space="preserve">cratialité</w:t>
      </w:r>
      <w:r>
        <w:t xml:space="preserve"> </w:t>
      </w:r>
      <w:r>
        <w:t xml:space="preserve">constitue la</w:t>
      </w:r>
      <w:r>
        <w:t xml:space="preserve"> </w:t>
      </w:r>
      <w:r>
        <w:rPr>
          <w:i/>
          <w:iCs/>
        </w:rPr>
        <w:t xml:space="preserve">puissance agissante</w:t>
      </w:r>
      <w:r>
        <w:t xml:space="preserve">, la</w:t>
      </w:r>
      <w:r>
        <w:t xml:space="preserve"> </w:t>
      </w:r>
      <w:r>
        <w:rPr>
          <w:i/>
          <w:iCs/>
        </w:rPr>
        <w:t xml:space="preserve">pulsation régulatrice</w:t>
      </w:r>
      <w:r>
        <w:t xml:space="preserve">, le</w:t>
      </w:r>
      <w:r>
        <w:t xml:space="preserve"> </w:t>
      </w:r>
      <w:r>
        <w:rPr>
          <w:i/>
          <w:iCs/>
        </w:rPr>
        <w:t xml:space="preserve">versant infra-symbolique</w:t>
      </w:r>
      <w:r>
        <w:t xml:space="preserve">. Elle n’obéit pas à un modèle de souveraineté ou de commandement, mais plutôt à une</w:t>
      </w:r>
      <w:r>
        <w:t xml:space="preserve"> </w:t>
      </w:r>
      <w:r>
        <w:rPr>
          <w:i/>
          <w:iCs/>
        </w:rPr>
        <w:t xml:space="preserve">logique d’opérativité distribuée</w:t>
      </w:r>
      <w:r>
        <w:t xml:space="preserve">, qui se manifeste dans les actions physiques, mais aussi dans les procédures, les normes implicites, les scripts techniques, les interfaces, les indicateurs, les routines disciplinaires, les ajustements silencieux.</w:t>
      </w:r>
    </w:p>
    <w:p>
      <w:pPr>
        <w:pStyle w:val="BodyText"/>
      </w:pPr>
      <w:r>
        <w:t xml:space="preserve">Mais la</w:t>
      </w:r>
      <w:r>
        <w:t xml:space="preserve"> </w:t>
      </w:r>
      <w:r>
        <w:rPr>
          <w:i/>
          <w:iCs/>
        </w:rPr>
        <w:t xml:space="preserve">cratialité</w:t>
      </w:r>
      <w:r>
        <w:t xml:space="preserve">, pour autant qu’elle désigne une force agissante sans principe visible, ne saurait être une entité homogène ou univoque. Elle se manifeste toujours sous des formes différenciées, selon les milieux, les dispositifs, les instruments, les régimes d’effet, les temporalités d’action. On aurait tort de l’imaginer comme un pouvoir unifié : elle est plutôt un pluriel sans totalisation, un spectre de pratiques régulatrices qui modulent l’expérience collective à partir d’agencements situés, parfois massifs, parfois microscopiques.</w:t>
      </w:r>
    </w:p>
    <w:p>
      <w:pPr>
        <w:pStyle w:val="BodyText"/>
      </w:pPr>
      <w:r>
        <w:t xml:space="preserve">Pour saisir ce que le concept de</w:t>
      </w:r>
      <w:r>
        <w:t xml:space="preserve"> </w:t>
      </w:r>
      <w:r>
        <w:rPr>
          <w:i/>
          <w:iCs/>
        </w:rPr>
        <w:t xml:space="preserve">cratialité</w:t>
      </w:r>
      <w:r>
        <w:t xml:space="preserve"> </w:t>
      </w:r>
      <w:r>
        <w:t xml:space="preserve">permet de penser, il faut l’observer là encore à travers des configurations historiques et contemporaines, où le pouvoir n’agit plus par commandement, mais par</w:t>
      </w:r>
      <w:r>
        <w:t xml:space="preserve"> </w:t>
      </w:r>
      <w:r>
        <w:rPr>
          <w:i/>
          <w:iCs/>
        </w:rPr>
        <w:t xml:space="preserve">formatage</w:t>
      </w:r>
      <w:r>
        <w:t xml:space="preserve">. La</w:t>
      </w:r>
      <w:r>
        <w:t xml:space="preserve"> </w:t>
      </w:r>
      <w:r>
        <w:rPr>
          <w:i/>
          <w:iCs/>
        </w:rPr>
        <w:t xml:space="preserve">cratialité</w:t>
      </w:r>
      <w:r>
        <w:t xml:space="preserve"> </w:t>
      </w:r>
      <w:r>
        <w:t xml:space="preserve">désigne cette</w:t>
      </w:r>
      <w:r>
        <w:t xml:space="preserve"> </w:t>
      </w:r>
      <w:r>
        <w:rPr>
          <w:i/>
          <w:iCs/>
        </w:rPr>
        <w:t xml:space="preserve">capacité d’un agencement à produire des effets</w:t>
      </w:r>
      <w:r>
        <w:t xml:space="preserve"> </w:t>
      </w:r>
      <w:r>
        <w:t xml:space="preserve">— non par le droit ou l’autorité, mais par la scénographie, l’attendu, le code, le protocole, la procédure.</w:t>
      </w:r>
    </w:p>
    <w:p>
      <w:pPr>
        <w:pStyle w:val="BodyText"/>
      </w:pPr>
      <w:r>
        <w:t xml:space="preserve">Sous l’Ancien Régime, par exemple, la cour de Versailles fonctionnait moins comme lieu de majesté que comme machinerie de régulation sociale. Le rituel monarchique — lever du roi, étiquette, spatialisation des corps — opérait comme une</w:t>
      </w:r>
      <w:r>
        <w:t xml:space="preserve"> </w:t>
      </w:r>
      <w:r>
        <w:rPr>
          <w:i/>
          <w:iCs/>
        </w:rPr>
        <w:t xml:space="preserve">cratialité incorporée</w:t>
      </w:r>
      <w:r>
        <w:t xml:space="preserve">. Norbert Elias parlait de</w:t>
      </w:r>
      <w:r>
        <w:t xml:space="preserve"> </w:t>
      </w:r>
      <w:r>
        <w:rPr>
          <w:i/>
          <w:iCs/>
        </w:rPr>
        <w:t xml:space="preserve">processus de civilisation</w:t>
      </w:r>
      <w:r>
        <w:t xml:space="preserve"> </w:t>
      </w:r>
      <w:r>
        <w:t xml:space="preserve">; ici, c’était d’un</w:t>
      </w:r>
      <w:r>
        <w:t xml:space="preserve"> </w:t>
      </w:r>
      <w:r>
        <w:rPr>
          <w:i/>
          <w:iCs/>
        </w:rPr>
        <w:t xml:space="preserve">pouvoir par intériorisation</w:t>
      </w:r>
      <w:r>
        <w:t xml:space="preserve"> </w:t>
      </w:r>
      <w:r>
        <w:t xml:space="preserve">qu’il s’agissait : réglage des affects, des gestes, des postures, sans violence apparente, avec une efficacité néanmoins redoutable.</w:t>
      </w:r>
    </w:p>
    <w:p>
      <w:pPr>
        <w:pStyle w:val="BodyText"/>
      </w:pPr>
      <w:r>
        <w:t xml:space="preserve">Dans la Rome républicaine, la</w:t>
      </w:r>
      <w:r>
        <w:t xml:space="preserve"> </w:t>
      </w:r>
      <w:r>
        <w:rPr>
          <w:i/>
          <w:iCs/>
        </w:rPr>
        <w:t xml:space="preserve">cratialité</w:t>
      </w:r>
      <w:r>
        <w:t xml:space="preserve">, ou puissance politique, s’incarnait dans des procédures précises et des institutions conçues pour éviter la concentration excessive du pouvoir : contre-pouvoirs, délais, rituels et magistratures étaient organisés selon une architecture politique équilibrée. Michel Villey a analysé le droit romain comme un art réaliste où la loi ne s’imposait pas arbitrairement du sommet, mais se construisait dans une pratique juridico-politique orientée vers la justice et adaptée aux circonstances. Cette organisation tempérait un pouvoir centralisé par un jeu complexe d’équilibres, où la règle naissait autant de la tradition et des usages que de l’autorité formelle.</w:t>
      </w:r>
    </w:p>
    <w:p>
      <w:pPr>
        <w:pStyle w:val="BodyText"/>
      </w:pPr>
      <w:r>
        <w:t xml:space="preserve">Avec la modernité étatique, Michel Foucault a montré que le pouvoir se</w:t>
      </w:r>
      <w:r>
        <w:t xml:space="preserve"> </w:t>
      </w:r>
      <w:r>
        <w:rPr>
          <w:i/>
          <w:iCs/>
        </w:rPr>
        <w:t xml:space="preserve">biopolitise</w:t>
      </w:r>
      <w:r>
        <w:t xml:space="preserve"> </w:t>
      </w:r>
      <w:r>
        <w:t xml:space="preserve">: santé publique, statistiques, recensement, école obligatoire… la</w:t>
      </w:r>
      <w:r>
        <w:t xml:space="preserve"> </w:t>
      </w:r>
      <w:r>
        <w:rPr>
          <w:i/>
          <w:iCs/>
        </w:rPr>
        <w:t xml:space="preserve">cratialité</w:t>
      </w:r>
      <w:r>
        <w:t xml:space="preserve"> </w:t>
      </w:r>
      <w:r>
        <w:t xml:space="preserve">devient une</w:t>
      </w:r>
      <w:r>
        <w:t xml:space="preserve"> </w:t>
      </w:r>
      <w:r>
        <w:rPr>
          <w:i/>
          <w:iCs/>
        </w:rPr>
        <w:t xml:space="preserve">fabrique de conduites</w:t>
      </w:r>
      <w:r>
        <w:t xml:space="preserve">, agissant en deçà de la loi, modulant les corps et les populations. Dès lors, le pouvoir ne commande plus : il structure la norme à travers des</w:t>
      </w:r>
      <w:r>
        <w:t xml:space="preserve"> </w:t>
      </w:r>
      <w:r>
        <w:rPr>
          <w:i/>
          <w:iCs/>
        </w:rPr>
        <w:t xml:space="preserve">dispositifs agissants</w:t>
      </w:r>
      <w:r>
        <w:t xml:space="preserve">.</w:t>
      </w:r>
    </w:p>
    <w:p>
      <w:pPr>
        <w:pStyle w:val="BodyText"/>
      </w:pPr>
      <w:r>
        <w:t xml:space="preserve">Dans de nombreux États postcoloniaux, la</w:t>
      </w:r>
      <w:r>
        <w:t xml:space="preserve"> </w:t>
      </w:r>
      <w:r>
        <w:rPr>
          <w:i/>
          <w:iCs/>
        </w:rPr>
        <w:t xml:space="preserve">cratialité</w:t>
      </w:r>
      <w:r>
        <w:t xml:space="preserve"> </w:t>
      </w:r>
      <w:r>
        <w:t xml:space="preserve">conserve en grande partie ses</w:t>
      </w:r>
      <w:r>
        <w:t xml:space="preserve"> </w:t>
      </w:r>
      <w:r>
        <w:rPr>
          <w:i/>
          <w:iCs/>
        </w:rPr>
        <w:t xml:space="preserve">formes héritées</w:t>
      </w:r>
      <w:r>
        <w:t xml:space="preserve"> </w:t>
      </w:r>
      <w:r>
        <w:t xml:space="preserve">du passé colonial. Cadastres construits selon les normes coloniales, routines bureaucratiques reproduisant les modalités administratives imposées, et scripts institutionnels continuent de réinscrire l’autorité coloniale dans le quotidien, infusant ainsi la gestion étatique d’une mémoire et d’une pratique dominantes. Cette régulation politique et administrative perdure, portée par l’</w:t>
      </w:r>
      <w:r>
        <w:rPr>
          <w:i/>
          <w:iCs/>
        </w:rPr>
        <w:t xml:space="preserve">inertie d’une cratialité enracinée dans les structures héritées</w:t>
      </w:r>
      <w:r>
        <w:t xml:space="preserve">.</w:t>
      </w:r>
    </w:p>
    <w:p>
      <w:pPr>
        <w:pStyle w:val="BodyText"/>
      </w:pPr>
      <w:r>
        <w:t xml:space="preserve">À l’ère écologique, la</w:t>
      </w:r>
      <w:r>
        <w:t xml:space="preserve"> </w:t>
      </w:r>
      <w:r>
        <w:rPr>
          <w:i/>
          <w:iCs/>
        </w:rPr>
        <w:t xml:space="preserve">cratialité</w:t>
      </w:r>
      <w:r>
        <w:t xml:space="preserve"> </w:t>
      </w:r>
      <w:r>
        <w:t xml:space="preserve">passe par la</w:t>
      </w:r>
      <w:r>
        <w:t xml:space="preserve"> </w:t>
      </w:r>
      <w:r>
        <w:rPr>
          <w:i/>
          <w:iCs/>
        </w:rPr>
        <w:t xml:space="preserve">norme chiffrée</w:t>
      </w:r>
      <w:r>
        <w:t xml:space="preserve"> </w:t>
      </w:r>
      <w:r>
        <w:t xml:space="preserve">: marchés du carbone, seuils ISO, critères ESG. Le droit à polluer se négocie, se calcule, s’échange. Il s’agit moins de régulation morale que d’un</w:t>
      </w:r>
      <w:r>
        <w:t xml:space="preserve"> </w:t>
      </w:r>
      <w:r>
        <w:rPr>
          <w:i/>
          <w:iCs/>
        </w:rPr>
        <w:t xml:space="preserve">pilotage algorithmique</w:t>
      </w:r>
      <w:r>
        <w:t xml:space="preserve"> </w:t>
      </w:r>
      <w:r>
        <w:t xml:space="preserve">des équilibres. Bien que la Terre devienne une</w:t>
      </w:r>
      <w:r>
        <w:t xml:space="preserve"> </w:t>
      </w:r>
      <w:r>
        <w:rPr>
          <w:i/>
          <w:iCs/>
        </w:rPr>
        <w:t xml:space="preserve">arcalité</w:t>
      </w:r>
      <w:r>
        <w:t xml:space="preserve">, sa régulation, elle, repose sur une</w:t>
      </w:r>
      <w:r>
        <w:t xml:space="preserve"> </w:t>
      </w:r>
      <w:r>
        <w:rPr>
          <w:i/>
          <w:iCs/>
        </w:rPr>
        <w:t xml:space="preserve">cratialité technico-financière</w:t>
      </w:r>
      <w:r>
        <w:t xml:space="preserve">, opaque, désarrimée de tout débat public.</w:t>
      </w:r>
    </w:p>
    <w:p>
      <w:pPr>
        <w:pStyle w:val="BodyText"/>
      </w:pPr>
      <w:r>
        <w:t xml:space="preserve">Enfin, dans les régimes numériques contemporains, la cratialité se dissout dans les infrastructures : IA décisionnelles, scoring social, plateformes automatisées. Comme l’écrit Shoshana Zuboff, nous sommes entrés dans l’ère du capitalisme de surveillance, où la gouvernance s’exerce sans discours et sans voie de recours. Byung-Chul Han y voit un « pouvoir transparent total », où le pouvoir n’est plus énoncé — il agit, module, filtre et exclut.</w:t>
      </w:r>
    </w:p>
    <w:p>
      <w:pPr>
        <w:pStyle w:val="BodyText"/>
      </w:pPr>
      <w:r>
        <w:t xml:space="preserve">Après ce tour d’horizon des</w:t>
      </w:r>
      <w:r>
        <w:t xml:space="preserve"> </w:t>
      </w:r>
      <w:r>
        <w:rPr>
          <w:i/>
          <w:iCs/>
        </w:rPr>
        <w:t xml:space="preserve">cratialités</w:t>
      </w:r>
      <w:r>
        <w:t xml:space="preserve"> </w:t>
      </w:r>
      <w:r>
        <w:t xml:space="preserve">à travers l’espace et le temps, s’il fallait justifier, en dernière instance, l’introduction d</w:t>
      </w:r>
      <w:r>
        <w:rPr>
          <w:i/>
          <w:iCs/>
        </w:rPr>
        <w:t xml:space="preserve">e</w:t>
      </w:r>
      <w:r>
        <w:t xml:space="preserve"> </w:t>
      </w:r>
      <w:r>
        <w:t xml:space="preserve">ce concept, ce serait en raison d’un vide analytique que les cadres existants ne parviennent plus à combler. La question n’est pas tant de créer un terme de plus, que de rendre dicible une opération fondamentale du pouvoir : celle qui consiste à</w:t>
      </w:r>
      <w:r>
        <w:t xml:space="preserve"> </w:t>
      </w:r>
      <w:r>
        <w:rPr>
          <w:i/>
          <w:iCs/>
        </w:rPr>
        <w:t xml:space="preserve">agir sans autorité explicite</w:t>
      </w:r>
      <w:r>
        <w:t xml:space="preserve">, à contraindre sans justification, à réguler sans discours. En ce sens, la</w:t>
      </w:r>
      <w:r>
        <w:t xml:space="preserve"> </w:t>
      </w:r>
      <w:r>
        <w:rPr>
          <w:i/>
          <w:iCs/>
        </w:rPr>
        <w:t xml:space="preserve">cratialité</w:t>
      </w:r>
      <w:r>
        <w:t xml:space="preserve"> </w:t>
      </w:r>
      <w:r>
        <w:t xml:space="preserve">ne s’oppose pas à l’</w:t>
      </w:r>
      <w:r>
        <w:rPr>
          <w:i/>
          <w:iCs/>
        </w:rPr>
        <w:t xml:space="preserve">arcalité</w:t>
      </w:r>
      <w:r>
        <w:t xml:space="preserve">, elles se complètent. Elles révèlent l’une à l’autre leur limite. Car il est possible d’agir sans légitimer, de structurer sans fonder, d’opérer sans lieu de confrontation ni narration instituante.</w:t>
      </w:r>
    </w:p>
    <w:p>
      <w:pPr>
        <w:pStyle w:val="BodyText"/>
      </w:pPr>
      <w:r>
        <w:t xml:space="preserve">Le concept de</w:t>
      </w:r>
      <w:r>
        <w:t xml:space="preserve"> </w:t>
      </w:r>
      <w:r>
        <w:rPr>
          <w:i/>
          <w:iCs/>
        </w:rPr>
        <w:t xml:space="preserve">cratialité</w:t>
      </w:r>
      <w:r>
        <w:t xml:space="preserve"> </w:t>
      </w:r>
      <w:r>
        <w:t xml:space="preserve">nous offre le terme pour penser ce pouvoir qui ne se proclame plus, mais qui agit partout — dans les flux, les interfaces, les chaînes logistiques, les scripts numériques, les seuils budgétaires, les routines bureaucratiques. Il désigne la capacité d’un agencement à produire des effets, à modifier des comportements, à orienter des trajectoires, sans s’exposer à la délibération, sans se soumettre à l’explication, sans passer par l’énonciation d’un principe délibéré. C’est ce que Foucault entrevoyait dans la notion de</w:t>
      </w:r>
      <w:r>
        <w:t xml:space="preserve"> </w:t>
      </w:r>
      <w:r>
        <w:rPr>
          <w:i/>
          <w:iCs/>
        </w:rPr>
        <w:t xml:space="preserve">dispositif</w:t>
      </w:r>
      <w:r>
        <w:t xml:space="preserve">, ce que Deleuze pressentait dans la</w:t>
      </w:r>
      <w:r>
        <w:t xml:space="preserve"> </w:t>
      </w:r>
      <w:r>
        <w:rPr>
          <w:i/>
          <w:iCs/>
        </w:rPr>
        <w:t xml:space="preserve">modulation</w:t>
      </w:r>
      <w:r>
        <w:t xml:space="preserve">, ce que Simondon entrevoyait dans la</w:t>
      </w:r>
      <w:r>
        <w:t xml:space="preserve"> </w:t>
      </w:r>
      <w:r>
        <w:rPr>
          <w:i/>
          <w:iCs/>
        </w:rPr>
        <w:t xml:space="preserve">concrétisation technique</w:t>
      </w:r>
      <w:r>
        <w:t xml:space="preserve"> </w:t>
      </w:r>
      <w:r>
        <w:t xml:space="preserve">— mais qu’aucune de ces notions ne rassemble sous un registre proprement politique, assumant sa fonction régulatrice dans l’espace collectif.</w:t>
      </w:r>
    </w:p>
    <w:p>
      <w:pPr>
        <w:pStyle w:val="BodyText"/>
      </w:pPr>
      <w:r>
        <w:t xml:space="preserve">C’est pourquoi la</w:t>
      </w:r>
      <w:r>
        <w:t xml:space="preserve"> </w:t>
      </w:r>
      <w:r>
        <w:rPr>
          <w:i/>
          <w:iCs/>
        </w:rPr>
        <w:t xml:space="preserve">cratialité</w:t>
      </w:r>
      <w:r>
        <w:t xml:space="preserve"> </w:t>
      </w:r>
      <w:r>
        <w:t xml:space="preserve">ne se confond ni avec la domination, ni avec le pouvoir institutionnel, ni même avec la technique. Elle traverse les formes, en tant qu’</w:t>
      </w:r>
      <w:r>
        <w:rPr>
          <w:i/>
          <w:iCs/>
        </w:rPr>
        <w:t xml:space="preserve">opérativité sans fondement</w:t>
      </w:r>
      <w:r>
        <w:t xml:space="preserve">. Elle n’explique pas pourquoi un ordre existe — elle permet de comprendre comment il s’exerce effectivement. Et c’est là sa puissance critique : déloger le politique de ses seules figures visibles, pour révéler les régulations silencieuses, les contraintes discrètes, les mécanismes délégués, les automatisations sans autorité véritablement légitime. Elle ouvre ainsi une contre-archéologie du pouvoir, attentive à ce qui agit sans se dire, à ce qui règle sans apparaître.</w:t>
      </w:r>
    </w:p>
    <w:p>
      <w:pPr>
        <w:pStyle w:val="BodyText"/>
      </w:pPr>
      <w:r>
        <w:t xml:space="preserve">Sur le plan épistémologique, la cratialité permet donc un déplacement décisif : elle nous extrait du dualisme éculé entre légitimité et illégitimité, démocratie et anarchie, État et société civile. Elle invite à penser un entre-deux, un « tiers opératoire » : là où le politique s’institue non par la Loi ou par le Chaos, mais par l’agencement de dispositifs producteurs de réalité. Ce pouvoir-là ne commande pas seulement : il invente, configure, jauge et module. Il ne s’expose pas toujours comme tel : il infiltre les pratiques et s’impose par leurs agencements. Et c’est pourquoi il faut un mot pour le désigner — non pas pour l’isoler, mais pour en cartographier les régimes, les formats, les seuils d’acceptabilité.</w:t>
      </w:r>
    </w:p>
    <w:p>
      <w:pPr>
        <w:pStyle w:val="BodyText"/>
      </w:pPr>
      <w:r>
        <w:t xml:space="preserve">Sur le plan critique, la cratialité permet aussi de distinguer l’effet de l’auteur : ce n’est pas parce que personne ne commande que rien ne s’impose. Ce n’est pas parce qu’une norme n’a pas été votée qu’elle n’opère pas et, inversement, ce n’est pas parce qu’une norme est appliquée qu’elle opère nécessairement. C’est toute la différence entre l’ordre prescrit et l’ordre effectif — différence aujourd’hui cruciale, tant la puissance régulatrice des systèmes dépasse celle des gouvernements.</w:t>
      </w:r>
    </w:p>
    <w:p>
      <w:pPr>
        <w:pStyle w:val="BodyText"/>
      </w:pPr>
      <w:r>
        <w:t xml:space="preserve">Enfin, sur le plan opératoire, la</w:t>
      </w:r>
      <w:r>
        <w:t xml:space="preserve"> </w:t>
      </w:r>
      <w:r>
        <w:rPr>
          <w:i/>
          <w:iCs/>
        </w:rPr>
        <w:t xml:space="preserve">cratialité</w:t>
      </w:r>
      <w:r>
        <w:t xml:space="preserve"> </w:t>
      </w:r>
      <w:r>
        <w:t xml:space="preserve">fournit une grille de lecture transversale des phénomènes contemporains : du design d’une application mobile à la réorganisation d’un hôpital, du protocole logistique d’un port à la normalisation de la parole publique, du filtrage des contenus en ligne à la gestion algorithmique de l’emploi. Partout où quelque chose agit sans se dire comme pouvoir, sans se nommer comme décision, sans s’assumer comme contrainte, la</w:t>
      </w:r>
      <w:r>
        <w:t xml:space="preserve"> </w:t>
      </w:r>
      <w:r>
        <w:rPr>
          <w:i/>
          <w:iCs/>
        </w:rPr>
        <w:t xml:space="preserve">cratialité</w:t>
      </w:r>
      <w:r>
        <w:t xml:space="preserve"> </w:t>
      </w:r>
      <w:r>
        <w:t xml:space="preserve">est à l’œuvre.</w:t>
      </w:r>
    </w:p>
    <w:p>
      <w:pPr>
        <w:pStyle w:val="BodyText"/>
      </w:pPr>
      <w:r>
        <w:t xml:space="preserve">La</w:t>
      </w:r>
      <w:r>
        <w:t xml:space="preserve"> </w:t>
      </w:r>
      <w:r>
        <w:rPr>
          <w:i/>
          <w:iCs/>
        </w:rPr>
        <w:t xml:space="preserve">cratialité</w:t>
      </w:r>
      <w:r>
        <w:t xml:space="preserve"> </w:t>
      </w:r>
      <w:r>
        <w:t xml:space="preserve">ne dit pas ce qui est juste — elle</w:t>
      </w:r>
      <w:r>
        <w:t xml:space="preserve"> </w:t>
      </w:r>
      <w:r>
        <w:rPr>
          <w:i/>
          <w:iCs/>
        </w:rPr>
        <w:t xml:space="preserve">rend visible ce qui fait effet</w:t>
      </w:r>
      <w:r>
        <w:t xml:space="preserve">. Elle ne produit pas une norme — elle révèle</w:t>
      </w:r>
      <w:r>
        <w:t xml:space="preserve"> </w:t>
      </w:r>
      <w:r>
        <w:rPr>
          <w:i/>
          <w:iCs/>
        </w:rPr>
        <w:t xml:space="preserve">ce qui règle sans normativité déclarée</w:t>
      </w:r>
      <w:r>
        <w:t xml:space="preserve">. Et c’est à ce titre que le concept de</w:t>
      </w:r>
      <w:r>
        <w:t xml:space="preserve"> </w:t>
      </w:r>
      <w:r>
        <w:rPr>
          <w:i/>
          <w:iCs/>
        </w:rPr>
        <w:t xml:space="preserve">cratialité</w:t>
      </w:r>
      <w:r>
        <w:t xml:space="preserve"> </w:t>
      </w:r>
      <w:r>
        <w:t xml:space="preserve">est précieux : parce qu’il nous rend à nouveau capables de penser la régulation là où elle se dissimule, de discuter ce qui semblait inéluctable, de contester ce qui opérait sans discussion. En ce sens, elle ne ferme pas l’espace politique — elle l’ouvre de nouveau, en partant non plus des formes idéales, mais des forces effectives.</w:t>
      </w:r>
    </w:p>
    <w:p>
      <w:pPr>
        <w:pStyle w:val="BodyText"/>
      </w:pPr>
      <w:r>
        <w:t xml:space="preserve">Mais si ces deux pôles — celui du fondement (</w:t>
      </w:r>
      <w:r>
        <w:rPr>
          <w:i/>
          <w:iCs/>
        </w:rPr>
        <w:t xml:space="preserve">arcalité</w:t>
      </w:r>
      <w:r>
        <w:t xml:space="preserve">) et celui de l’opération (</w:t>
      </w:r>
      <w:r>
        <w:rPr>
          <w:i/>
          <w:iCs/>
        </w:rPr>
        <w:t xml:space="preserve">cratialité</w:t>
      </w:r>
      <w:r>
        <w:t xml:space="preserve">) — peuvent être pensés séparément, ils ne fonctionnent jamais isolément dans les mondes réels. C’est là toute la limite d’une lecture en coupe : on peut analyser un principe, décrire une procédure, mais ce qui fait régulation, ce n’est jamais l’un sans l’autre. La légitimation sans effectuation tourne à la mystification ; l’effectuation sans légitimation vire à l’arbitraire.</w:t>
      </w:r>
    </w:p>
    <w:p>
      <w:pPr>
        <w:pStyle w:val="BodyText"/>
      </w:pPr>
      <w:r>
        <w:t xml:space="preserve">Ce cœur du pouvoir régulateur ne se réduit pourtant pas à la simple coprésence du fondement et de l’opération. Il se laisse analyser selon trois dimensions irréductibles : ce qui fonde, ce qui opère et ce qui met à l’épreuve. C’est précisément cette troisième dimension — celle par laquelle l’articulation des deux premières devient exposable, disputable et adressable — que nous voulons nommer, penser et problématiser ici.</w:t>
      </w:r>
    </w:p>
    <w:p>
      <w:pPr>
        <w:pStyle w:val="BodyText"/>
      </w:pPr>
      <w:r>
        <w:t xml:space="preserve">Si l’arcalité désigne ce au nom de quoi un ordre se justifie, et la cratialité les chaînes par lesquelles il agit effectivement, alors l’archicration désigne la scène instituée où cette justification et cette effectuation deviennent conjointement exposables à une épreuve. Elle n’est ni un supplément décoratif, ni un simple lieu de parole : elle est la condition sous laquelle le fondement et l’opération peuvent devenir politiquement adressables, disputables et, le cas échéant, révisables.</w:t>
      </w:r>
    </w:p>
    <w:p>
      <w:pPr>
        <w:pStyle w:val="BodyText"/>
      </w:pPr>
      <w:r>
        <w:t xml:space="preserve">L’archicration est la scène dans laquelle se rejoignent la question du pourquoi (pourquoi ce pouvoir est-il reconnu ?) et celle du comment (comment ce pouvoir opère-t-il effectivement ?), lorsque cette rencontre devient exposable, disputable et publiquement opposable. Il ne s’agit pas de deux dimensions juxtaposées, mais de deux régimes dont l’articulation ne devient politiquement décisive qu’à travers une épreuve instituée.</w:t>
      </w:r>
    </w:p>
    <w:p>
      <w:pPr>
        <w:pStyle w:val="BodyText"/>
      </w:pPr>
      <w:r>
        <w:t xml:space="preserve">Ainsi comprise, l’archicration ne nomme pas la totalité de l’acte politique, mais la scène où un ordre se rend à nouveau adressable, en exposant ses fondements et ses opérations à une épreuve réglée. Factuellement, dans les régulations politiques concrètes, il n’y a jamais de pouvoir qui se contente de dire sans faire, ni d’agir sans justifier. Tout dispositif un tant soit peu structurant articule, à sa manière, un</w:t>
      </w:r>
      <w:r>
        <w:t xml:space="preserve"> </w:t>
      </w:r>
      <w:r>
        <w:rPr>
          <w:i/>
          <w:iCs/>
        </w:rPr>
        <w:t xml:space="preserve">arkhè</w:t>
      </w:r>
      <w:r>
        <w:t xml:space="preserve"> </w:t>
      </w:r>
      <w:r>
        <w:rPr>
          <w:i/>
          <w:iCs/>
        </w:rPr>
        <w:t xml:space="preserve">qui justifie</w:t>
      </w:r>
      <w:r>
        <w:t xml:space="preserve"> </w:t>
      </w:r>
      <w:r>
        <w:t xml:space="preserve">et un</w:t>
      </w:r>
      <w:r>
        <w:t xml:space="preserve"> </w:t>
      </w:r>
      <w:r>
        <w:rPr>
          <w:i/>
          <w:iCs/>
        </w:rPr>
        <w:t xml:space="preserve">krateîn qui effectue</w:t>
      </w:r>
      <w:r>
        <w:t xml:space="preserve">.</w:t>
      </w:r>
    </w:p>
    <w:p>
      <w:pPr>
        <w:pStyle w:val="BodyText"/>
      </w:pPr>
      <w:r>
        <w:t xml:space="preserve">La force heuristique du concept d’</w:t>
      </w:r>
      <w:r>
        <w:rPr>
          <w:i/>
          <w:iCs/>
        </w:rPr>
        <w:t xml:space="preserve">archicration</w:t>
      </w:r>
      <w:r>
        <w:t xml:space="preserve">, c’est donc de réinscrire dans un même geste ce que la modernité politique avait tendance à dissocier : d’un côté, la légitimation (par le droit, le peuple, Dieu, la science…), de l’autre, l’effectuation (par les lois, les institutions, les techniques, les procédures…). Le pouvoir moderne s’est souvent construit sur une prétention à l’extériorité : l’action devait découler d’un principe, comme si l’on pouvait d’abord fonder, ensuite agir. Cette dissociation était une fiction structurante, utile pour l’ordre symbolique, mais inopérante pour une lecture du réel.</w:t>
      </w:r>
    </w:p>
    <w:p>
      <w:pPr>
        <w:pStyle w:val="BodyText"/>
      </w:pPr>
      <w:r>
        <w:t xml:space="preserve">En vérité, les régulations contemporaines peuvent être relues comme des configurations archicratiques, c’est-à-dire comme des agencements variables d’arcalité, de cratialité et d’archicration. L’État-nation, par exemple, articule une arcalité constitutionnelle à des cratialités institutionnelles, et n’institue des archicrations qu’à travers certaines scènes déterminées — assemblées, tribunaux, procédures de recours, controverses publiques, dispositifs de révision. Même un ordre religieux — ou un régime dit théocratique — n’échappe pas à cette logique : il articule des</w:t>
      </w:r>
      <w:r>
        <w:t xml:space="preserve"> </w:t>
      </w:r>
      <w:r>
        <w:rPr>
          <w:i/>
          <w:iCs/>
        </w:rPr>
        <w:t xml:space="preserve">arcalités transcendantes</w:t>
      </w:r>
      <w:r>
        <w:t xml:space="preserve"> </w:t>
      </w:r>
      <w:r>
        <w:t xml:space="preserve">(le texte révélé, la Loi divine, les prophètes, le Messie) à des</w:t>
      </w:r>
      <w:r>
        <w:t xml:space="preserve"> </w:t>
      </w:r>
      <w:r>
        <w:rPr>
          <w:i/>
          <w:iCs/>
        </w:rPr>
        <w:t xml:space="preserve">cratialités rituelles et doctrinales</w:t>
      </w:r>
      <w:r>
        <w:t xml:space="preserve"> </w:t>
      </w:r>
      <w:r>
        <w:t xml:space="preserve">(l’interprétation, la sanction, le commandement, la discipline).</w:t>
      </w:r>
    </w:p>
    <w:p>
      <w:pPr>
        <w:pStyle w:val="BodyText"/>
      </w:pPr>
      <w:r>
        <w:t xml:space="preserve">L’archicration ne désigne pas un régime parmi d’autres. Elle nomme la scène instituée où une régulation expose, selon des formes variables — parfois ouvertes, parfois captées, parfois violentes ou asymétriques — l’articulation de ses fondements et de ses opérations à une épreuve réglée, dès lors qu’elle vise à perdurer. De sorte qu’un pouvoir qui échoue à fonder ce qu’il opère s’expose à l’arbitraire ; un pouvoir qui échoue à opérer ce qu’il fonde s’épuise dans l’impuissance. De même, le simulacre surgit quand l’</w:t>
      </w:r>
      <w:r>
        <w:rPr>
          <w:i/>
          <w:iCs/>
        </w:rPr>
        <w:t xml:space="preserve">arcalité</w:t>
      </w:r>
      <w:r>
        <w:t xml:space="preserve"> </w:t>
      </w:r>
      <w:r>
        <w:t xml:space="preserve">se dissocie de toute effectuation ; l’instabilité s’installe quand la</w:t>
      </w:r>
      <w:r>
        <w:t xml:space="preserve"> </w:t>
      </w:r>
      <w:r>
        <w:rPr>
          <w:i/>
          <w:iCs/>
        </w:rPr>
        <w:t xml:space="preserve">cratialité</w:t>
      </w:r>
      <w:r>
        <w:t xml:space="preserve"> </w:t>
      </w:r>
      <w:r>
        <w:t xml:space="preserve">ne s’adosse à aucun principe partagé. Ce que nous appelons archicration, c’est donc la scène instituée où s’articulent — ou se désarticulent — le fondement et l’opération, la forme et la force, la justification et l’exécution, sous la possibilité d’une épreuve réglée.</w:t>
      </w:r>
    </w:p>
    <w:p>
      <w:pPr>
        <w:pStyle w:val="BodyText"/>
      </w:pPr>
      <w:r>
        <w:t xml:space="preserve">Or, c’est lorsque cette articulation devient asymétrique, disjointe ou captée, que le politique mute en profondeur — non plus sous la forme d’un changement visible de régime, mais d’un glissement silencieux des coordonnées de la régulation. Et parmi les figures contemporaines de cette désarticulation archicrative, le moment néolibéral occupe une place stratégique, tant par son étendue historique que par sa profondeur de reconfiguration. Non qu’il ait aboli la régulation — il l’a redéployée. Non qu’il ait supprimé le politique — il l’a déplacé, technicisé, encodé, rendu algorithme.</w:t>
      </w:r>
    </w:p>
    <w:p>
      <w:pPr>
        <w:pStyle w:val="BodyText"/>
      </w:pPr>
      <w:r>
        <w:t xml:space="preserve">À partir des années 1970, dans un contexte de mondialisation, de financiarisation croissante, de désindustrialisation occidentale et de crise des médiations collectives, le néolibéralisme s’est imposé sans conquête déclarée, par glissement, par ruse et par standardisation. Il n’a pas remplacé les institutions du politique : il les a désactivées en douceur ; il n’a pas détruit l’État : il a recodé ses prérogatives régulatrices selon une logique d’efficience, de marché, de seuil, de calcul et de recentrage sur ses fonctions régaliennes.</w:t>
      </w:r>
    </w:p>
    <w:p>
      <w:pPr>
        <w:pStyle w:val="BodyText"/>
      </w:pPr>
      <w:r>
        <w:t xml:space="preserve">Cette mutation ne commence pas avec le néolibéralisme, mais elle y trouve une intensification décisive.</w:t>
      </w:r>
    </w:p>
    <w:p>
      <w:pPr>
        <w:pStyle w:val="BodyText"/>
      </w:pPr>
      <w:r>
        <w:t xml:space="preserve">D’un côté, cette idéologie a déplacé l’</w:t>
      </w:r>
      <w:r>
        <w:rPr>
          <w:i/>
          <w:iCs/>
        </w:rPr>
        <w:t xml:space="preserve">arcalité</w:t>
      </w:r>
      <w:r>
        <w:t xml:space="preserve"> </w:t>
      </w:r>
      <w:r>
        <w:t xml:space="preserve">: le principe de fondement ne repose plus sur la souveraineté populaire, la loi, ou la délibération publique, mais sur l’</w:t>
      </w:r>
      <w:r>
        <w:rPr>
          <w:i/>
          <w:iCs/>
        </w:rPr>
        <w:t xml:space="preserve">efficience marchande</w:t>
      </w:r>
      <w:r>
        <w:t xml:space="preserve">. Le marché libre est présenté comme naturel, universel, neutre — et se promeut comme seul critère de légitimité. C’est ce que nous appelons ici</w:t>
      </w:r>
      <w:r>
        <w:t xml:space="preserve"> </w:t>
      </w:r>
      <w:r>
        <w:rPr>
          <w:i/>
          <w:iCs/>
        </w:rPr>
        <w:t xml:space="preserve">arcalité performative</w:t>
      </w:r>
      <w:r>
        <w:t xml:space="preserve"> </w:t>
      </w:r>
      <w:r>
        <w:t xml:space="preserve">: le fondement est produit par la performance elle-même. Le succès vaut justification. La croissance devient norme. L’indicateur remplace le débat.</w:t>
      </w:r>
    </w:p>
    <w:p>
      <w:pPr>
        <w:pStyle w:val="BodyText"/>
      </w:pPr>
      <w:r>
        <w:t xml:space="preserve">D’un autre côté, elle redéfinit la</w:t>
      </w:r>
      <w:r>
        <w:t xml:space="preserve"> </w:t>
      </w:r>
      <w:r>
        <w:rPr>
          <w:i/>
          <w:iCs/>
        </w:rPr>
        <w:t xml:space="preserve">cratialité</w:t>
      </w:r>
      <w:r>
        <w:t xml:space="preserve"> </w:t>
      </w:r>
      <w:r>
        <w:t xml:space="preserve">: la régulation ne passe plus par des institutions politiques visibles, mais par une gouvernance par les normes, les seuils, les indicateurs, les standards, les classements (</w:t>
      </w:r>
      <w:r>
        <w:rPr>
          <w:i/>
          <w:iCs/>
        </w:rPr>
        <w:t xml:space="preserve">rankings</w:t>
      </w:r>
      <w:r>
        <w:t xml:space="preserve">) et les interfaces. La décision n’est plus revendiquée ; elle s’élabore en algorithme opérationnel. Le pouvoir module, ajuste, et encode. Ce que Wendy Brown a appelé, dans</w:t>
      </w:r>
      <w:r>
        <w:t xml:space="preserve"> </w:t>
      </w:r>
      <w:r>
        <w:rPr>
          <w:i/>
          <w:iCs/>
        </w:rPr>
        <w:t xml:space="preserve">Undoing the Demos</w:t>
      </w:r>
      <w:r>
        <w:t xml:space="preserve">, la “rationalité néolibérale” ne se résume pas à un discours ou à une doctrine — c’est une</w:t>
      </w:r>
      <w:r>
        <w:t xml:space="preserve"> </w:t>
      </w:r>
      <w:r>
        <w:rPr>
          <w:i/>
          <w:iCs/>
        </w:rPr>
        <w:t xml:space="preserve">cratialité généralisée</w:t>
      </w:r>
      <w:r>
        <w:t xml:space="preserve">, une</w:t>
      </w:r>
      <w:r>
        <w:t xml:space="preserve"> </w:t>
      </w:r>
      <w:r>
        <w:rPr>
          <w:i/>
          <w:iCs/>
        </w:rPr>
        <w:t xml:space="preserve">logique de fonctionnement incorporée</w:t>
      </w:r>
      <w:r>
        <w:t xml:space="preserve"> </w:t>
      </w:r>
      <w:r>
        <w:t xml:space="preserve">dans les infrastructures mêmes du quotidien, où toute alternative devient impensable.</w:t>
      </w:r>
    </w:p>
    <w:p>
      <w:pPr>
        <w:pStyle w:val="BodyText"/>
      </w:pPr>
      <w:r>
        <w:t xml:space="preserve">Le mot d’ordre de “dérégulation” prôné par les tenants du néolibéralisme masquait en réalité un déplacement massif de la régulation, et non son annihilation. Ce qui a disparu peu à peu, ce ne sont pas les règles — elles pullulent — mais les scènes d’arbitrage où l’on pouvait encore en contester le sens, la pertinence, les effets. Les espaces publics de reconnaissance où elles pouvaient encore être mises à l’épreuve se sont effacés ou disséminés. Ainsi, chaque réforme — des retraites, de l’assurance chômage, de l’université, de l’hôpital ou de la fiscalité — est dès lors présentée non comme un choix idéologique, mais comme une évidence technico-financière, une réponse dite “rationnelle” à une contrainte supposée incontournable.</w:t>
      </w:r>
    </w:p>
    <w:p>
      <w:pPr>
        <w:pStyle w:val="BodyText"/>
      </w:pPr>
      <w:r>
        <w:t xml:space="preserve">Ce qui s’impose alors est une reconfiguration radicale des conditions d’existence. Le pouvoir n’est ni aboli ni dissimulé : il est redistribué dans des protocoles privés, encodé dans des métriques peu explicites et relayé par des environnements régulateurs où la fabrique du politique a été méthodiquement neutralisée. Ce que le néolibéralisme installe, ce n’est pas une dérégulation au sens strict, mais une désarchicration tendancielle : les opérations se poursuivent, les justifications circulent, tandis que les scènes où elles pourraient être réellement éprouvées sont neutralisées, mimées ou confisquées. Il produit un agencement dans lequel la légitimation ne s’édicte plus, mais s’infiltre sous forme de performance antérieure ; dans lequel la régulation ne tranche plus publiquement, mais opère en souterrain, au travers d’indicateurs, de seuils, d’algorithmes, de traités supranationaux, de conventions de marché.</w:t>
      </w:r>
    </w:p>
    <w:p>
      <w:pPr>
        <w:pStyle w:val="BodyText"/>
      </w:pPr>
      <w:r>
        <w:t xml:space="preserve">Arrêtons-nous un instant pour bien préciser les termes de notre propos. Par scène, nous entendons l’instance d’épreuve où des forces, des acteurs, des registres ou des institutions d’ordres différents se confrontent sous des règles explicites. Il ne s’agit donc pas du seul théâtre institutionnel ; nous parlons ici d’un espace d’apparition conflictuelle, où peuvent se rendre audibles les dissensus (Jacques Rancière,</w:t>
      </w:r>
      <w:r>
        <w:t xml:space="preserve"> </w:t>
      </w:r>
      <w:r>
        <w:rPr>
          <w:i/>
          <w:iCs/>
        </w:rPr>
        <w:t xml:space="preserve">La Mésentente</w:t>
      </w:r>
      <w:r>
        <w:t xml:space="preserve">, 1995).</w:t>
      </w:r>
    </w:p>
    <w:p>
      <w:pPr>
        <w:pStyle w:val="BodyText"/>
      </w:pPr>
      <w:r>
        <w:t xml:space="preserve">Dès lors, penser l’archicration, c’est chercher à rendre lisible la scène où un ordre se constitue en exposant à l’épreuve réglée l’articulation de forces hétérogènes. Ce que nous proposons ici n’est pas un modèle, mais un geste : un mode d’attention aux lignes d’opération du pouvoir, une manière de cartographier les régulations en acte, une tentative de réouverture d’espaces démocratiques. L’enjeu est de refonder la possibilité d’épreuves là où l’opacité et l’occultation se sont installées, et de rouvrir un espace de visibilité critique là où l’efficacité s’autojustifie et prétend se suffire à elle-même.</w:t>
      </w:r>
    </w:p>
    <w:p>
      <w:pPr>
        <w:pStyle w:val="BodyText"/>
      </w:pPr>
      <w:r>
        <w:t xml:space="preserve">Sous notre prisme d’analyse, l’</w:t>
      </w:r>
      <w:r>
        <w:rPr>
          <w:i/>
          <w:iCs/>
        </w:rPr>
        <w:t xml:space="preserve">archicration</w:t>
      </w:r>
      <w:r>
        <w:t xml:space="preserve"> </w:t>
      </w:r>
      <w:r>
        <w:t xml:space="preserve">s’éprouve comme une réalité concrète, un espace vivant traversé de tensions permanentes, où se cherche sans cesse un fragile</w:t>
      </w:r>
      <w:r>
        <w:t xml:space="preserve"> </w:t>
      </w:r>
      <w:r>
        <w:rPr>
          <w:i/>
          <w:iCs/>
        </w:rPr>
        <w:t xml:space="preserve">équilibre entre des formes d’assise, des forces productives et des vulnérabilités constitutives</w:t>
      </w:r>
      <w:r>
        <w:t xml:space="preserve">. Or, cet équilibre n’a rien de garanti : il peut basculer, se rompre, se déformer.</w:t>
      </w:r>
    </w:p>
    <w:p>
      <w:pPr>
        <w:pStyle w:val="BodyText"/>
      </w:pPr>
      <w:r>
        <w:t xml:space="preserve">Que faut-il entendre par là ? Certaines configurations archicratives tendent à surinvestir l’affectation — entendue ici comme l’ensemble des dimensions idéologiques, symboliques et émotionnelles qui prétendent donner sens et légitimer un ordre — tout en négligeant l’effectuation, soit la capacité de traduire ces principes en dispositifs opératoires stables et durables.</w:t>
      </w:r>
    </w:p>
    <w:p>
      <w:pPr>
        <w:pStyle w:val="BodyText"/>
      </w:pPr>
      <w:r>
        <w:t xml:space="preserve">D’autres</w:t>
      </w:r>
      <w:r>
        <w:t xml:space="preserve"> </w:t>
      </w:r>
      <w:r>
        <w:rPr>
          <w:i/>
          <w:iCs/>
        </w:rPr>
        <w:t xml:space="preserve">archicrations</w:t>
      </w:r>
      <w:r>
        <w:t xml:space="preserve">, à l’inverse, s’enferment dans l’</w:t>
      </w:r>
      <w:r>
        <w:rPr>
          <w:i/>
          <w:iCs/>
        </w:rPr>
        <w:t xml:space="preserve">effectuation</w:t>
      </w:r>
      <w:r>
        <w:t xml:space="preserve"> </w:t>
      </w:r>
      <w:r>
        <w:t xml:space="preserve">en oubliant tout récit justificatif. L’Union européenne en fournit un cas exemplaire : sa gouvernance repose sur une accumulation de normes techniques, de seuils budgétaires, de critères de convergence, d’indicateurs chiffrés (3 % de déficit, 60 % de dette, pactes de stabilité, règles de concurrence, standards environnementaux…). Ce régime régulateur, d’une efficacité incontestable dans sa capacité à contraindre les États membres, opère par une effectuation puissante, mais trop souvent déliée d’un langage politique partagé. Les décisions se justifient au nom de la « rationalité économique » ou de la « soutenabilité financière », sans se traduire dans un récit de légitimité accessible aux citoyens. C’est cette asymétrie — abondance de dispositifs opératoires, rareté des justifications symboliques — qui alimente le sentiment d’un déficit démocratique chronique, relevé par de nombreux observateurs et confirmé par les épisodes de rejet populaire (référendum français de 2005, Brexit, poussées eurosceptiques). Ici, l’</w:t>
      </w:r>
      <w:r>
        <w:rPr>
          <w:i/>
          <w:iCs/>
        </w:rPr>
        <w:t xml:space="preserve">archicration</w:t>
      </w:r>
      <w:r>
        <w:t xml:space="preserve"> </w:t>
      </w:r>
      <w:r>
        <w:t xml:space="preserve">s’épuise dans l’opération : elle agit, ajuste, module, mais peine à convaincre et à rassembler.</w:t>
      </w:r>
    </w:p>
    <w:p>
      <w:pPr>
        <w:pStyle w:val="BodyText"/>
      </w:pPr>
      <w:r>
        <w:t xml:space="preserve">À l’autre extrême, certaines</w:t>
      </w:r>
      <w:r>
        <w:t xml:space="preserve"> </w:t>
      </w:r>
      <w:r>
        <w:rPr>
          <w:i/>
          <w:iCs/>
        </w:rPr>
        <w:t xml:space="preserve">archicrations</w:t>
      </w:r>
      <w:r>
        <w:t xml:space="preserve"> </w:t>
      </w:r>
      <w:r>
        <w:t xml:space="preserve">se construisent sur une</w:t>
      </w:r>
      <w:r>
        <w:t xml:space="preserve"> </w:t>
      </w:r>
      <w:r>
        <w:rPr>
          <w:i/>
          <w:iCs/>
        </w:rPr>
        <w:t xml:space="preserve">fausse fusion</w:t>
      </w:r>
      <w:r>
        <w:t xml:space="preserve"> </w:t>
      </w:r>
      <w:r>
        <w:t xml:space="preserve">entre fondement et opération. Les régimes autoritaires modernes, comme ceux de la Russie de Vladimir Poutine ou de la Turquie de Recep Tayyip Erdogan, en offrent des incarnations saisissantes. L’</w:t>
      </w:r>
      <w:r>
        <w:rPr>
          <w:i/>
          <w:iCs/>
        </w:rPr>
        <w:t xml:space="preserve">arkhè</w:t>
      </w:r>
      <w:r>
        <w:t xml:space="preserve"> </w:t>
      </w:r>
      <w:r>
        <w:t xml:space="preserve">proclamé — la Nation, la Tradition, la Religion, parfois la Civilisation — est érigé en principe indiscutable, en vérité d’origine inattaquable. Mais cette légitimation abstraite fonctionne comme paravent et sert de couverture à des pratiques de régulation brutales, des répressions ciblées, des ajustements institutionnels opportunistes, des captations oligarchiques et des dispositifs de contrôle opaque. L’illusion d’une concordance parfaite entre fondement et action masque en réalité une dissociation : le fondement est vidé de son contenu normatif, réduit à une invocation rituelle, tandis que l’effectuation se déploie dans la violence, l’arbitraire ou la manipulation technique. Dans ce type de configuration régulatrice à archicration captée, l’absence de véritable contradictoire — presse muselée, opposition criminalisée, société civile réduite — empêche toute mise à l’épreuve du pouvoir. Au lieu d’être travaillé dans une tension féconde, l’équilibre</w:t>
      </w:r>
      <w:r>
        <w:t xml:space="preserve"> </w:t>
      </w:r>
      <w:r>
        <w:rPr>
          <w:i/>
          <w:iCs/>
        </w:rPr>
        <w:t xml:space="preserve">arcalité/cratialité</w:t>
      </w:r>
      <w:r>
        <w:t xml:space="preserve"> </w:t>
      </w:r>
      <w:r>
        <w:t xml:space="preserve">est réduit à un simulacre qui absolutise le principe pour mieux immuniser l’action.</w:t>
      </w:r>
    </w:p>
    <w:p>
      <w:pPr>
        <w:pStyle w:val="BodyText"/>
      </w:pPr>
      <w:r>
        <w:t xml:space="preserve">C’est pourquoi penser la régulation politique à travers le prisme de l’</w:t>
      </w:r>
      <w:r>
        <w:rPr>
          <w:i/>
          <w:iCs/>
        </w:rPr>
        <w:t xml:space="preserve">archicration</w:t>
      </w:r>
      <w:r>
        <w:t xml:space="preserve">, ce n’est pas inventer un nouveau régime ni esquisser une utopie institutionnelle. C’est surtout déplacer le regard. Refuser de prendre les formes pour des essences, les régimes pour des totalités closes ou les normes pour des évidences. C’est ouvrir une autre cartographie du pouvoir, fondée non sur les déclarations, mais sur les agencements ; non seulement sur les formes héritées, mais aussi sur les opérations effectives. Une cartographie qui permette d’interroger chaque configuration politique en termes d’articulation concrète entre ce qui justifie (l’</w:t>
      </w:r>
      <w:r>
        <w:rPr>
          <w:i/>
          <w:iCs/>
        </w:rPr>
        <w:t xml:space="preserve">arcalité</w:t>
      </w:r>
      <w:r>
        <w:t xml:space="preserve">) et ce qui agit (la</w:t>
      </w:r>
      <w:r>
        <w:t xml:space="preserve"> </w:t>
      </w:r>
      <w:r>
        <w:rPr>
          <w:i/>
          <w:iCs/>
        </w:rPr>
        <w:t xml:space="preserve">cratialité</w:t>
      </w:r>
      <w:r>
        <w:t xml:space="preserve">).</w:t>
      </w:r>
    </w:p>
    <w:p>
      <w:pPr>
        <w:pStyle w:val="BodyText"/>
      </w:pPr>
      <w:r>
        <w:t xml:space="preserve">C’est là le cœur du geste archicratique : restituer aux sociétés la lisibilité critique de leurs propres agencements, là où le pouvoir cherche à effacer ses fondements, et sa régulation à se rendre inattaquable.</w:t>
      </w:r>
    </w:p>
    <w:p>
      <w:pPr>
        <w:pStyle w:val="BodyText"/>
      </w:pPr>
      <w:r>
        <w:t xml:space="preserve">Mais allons plus loin. Si l’archicration désigne, dans une régulation, la scène instituée où l’articulation entre arcalité et cratialité devient exposable, différable et opposable, alors l’archicratie nomme le seuil à partir duquel une configuration politique devient habitable parce qu’elle maintient distinctes, articulées et exposables l’arcalité, la cratialité et l’archicration. La gouvernementalité contemporaine, telle que Michel Foucault en a dégagé la logique dans ses cours au Collège de France (</w:t>
      </w:r>
      <w:r>
        <w:rPr>
          <w:i/>
          <w:iCs/>
        </w:rPr>
        <w:t xml:space="preserve">Sécurité, territoire, population</w:t>
      </w:r>
      <w:r>
        <w:t xml:space="preserve">, 1977–1978 ;</w:t>
      </w:r>
      <w:r>
        <w:t xml:space="preserve"> </w:t>
      </w:r>
      <w:r>
        <w:rPr>
          <w:i/>
          <w:iCs/>
        </w:rPr>
        <w:t xml:space="preserve">Naissance de la biopolitique</w:t>
      </w:r>
      <w:r>
        <w:t xml:space="preserve">, 1978–1979), éclaire au contraire l’un des empêchements majeurs de ce seuil : dissémination technique de l’opération, fragilisation des fondements exposables, compression ou neutralisation des scènes d’épreuve. Ce n’est donc pas l’archicratie que nous voyons proliférer aujourd’hui, mais des formes désarchicratiques, archicratistiques ou autarchicratiques, dans lesquelles la régulation se poursuit tandis que sa mise en scène contradictoire devient de plus en plus difficile, fictive ou captée.</w:t>
      </w:r>
    </w:p>
    <w:p>
      <w:pPr>
        <w:pStyle w:val="BodyText"/>
      </w:pPr>
      <w:r>
        <w:t xml:space="preserve">Cette entrée en matière vise à dégager le lieu exact où se joue aujourd’hui notre impuissance politique. Cette situation n’est pas un déficit de principes ni un excès de pouvoir ; c’est le dérèglement adémocratique des régimes de régulation, rendu illisible faute de scènes délibératives et d’instruments partagés.</w:t>
      </w:r>
    </w:p>
    <w:p>
      <w:pPr>
        <w:pStyle w:val="BodyText"/>
      </w:pPr>
      <w:r>
        <w:t xml:space="preserve">C’est en remontant aux rouages primitifs du pouvoir — l’</w:t>
      </w:r>
      <w:r>
        <w:rPr>
          <w:i/>
          <w:iCs/>
        </w:rPr>
        <w:t xml:space="preserve">arcalité</w:t>
      </w:r>
      <w:r>
        <w:t xml:space="preserve">, polarité des formes d’affectation, et la</w:t>
      </w:r>
      <w:r>
        <w:t xml:space="preserve"> </w:t>
      </w:r>
      <w:r>
        <w:rPr>
          <w:i/>
          <w:iCs/>
        </w:rPr>
        <w:t xml:space="preserve">cratialité</w:t>
      </w:r>
      <w:r>
        <w:t xml:space="preserve">, polarité des forces d’effectuation — que nous déplaçons la question politique des figures du gouvernement vers les prises différenciées de sa régulation.</w:t>
      </w:r>
    </w:p>
    <w:p>
      <w:pPr>
        <w:pStyle w:val="BodyText"/>
      </w:pPr>
      <w:r>
        <w:t xml:space="preserve">En nommant archicration non pas l’articulation en général entre fondement et opération, mais la scène instituée où cette articulation devient visible, éprouvable et partiellement opposable, nous nous donnons une première grille de lecture des configurations contemporaines, où les dispositifs agissent sans toujours se légitimer, et où les fondements proclamés — droits humains, droits du travail, droits du vivant — voient décroître leur force d’obligation effective, au profit d’agencements opératoires qui ne se légitiment plus qu’à la marge.</w:t>
      </w:r>
    </w:p>
    <w:p>
      <w:pPr>
        <w:pStyle w:val="BodyText"/>
      </w:pPr>
      <w:r>
        <w:t xml:space="preserve">Ce que cette notion permet de mettre au jour ne se limite pas au fonctionnement des régulations, mais concerne aussi les difficultés croissantes à les voir interrogées, éprouvées, exposées au contradictoire. Loin de n’être qu’une propriété secondaire, cette mise à distance de toute possibilité de contestation structurée constitue désormais un trait central de notre condition politique. Ce qui agit n’est plus exposé qu’aux marges de la discussion publique, et ce qui régule s’exerce désormais de plus en plus en silence, dans l’ombre, à l’abri des regards, dans un retrait radical du débat sur ses formes, ses conditions, ses seuils, ses formats.</w:t>
      </w:r>
    </w:p>
    <w:p>
      <w:pPr>
        <w:pStyle w:val="BodyText"/>
      </w:pPr>
      <w:r>
        <w:t xml:space="preserve">Mais ce geste inaugural — critique, archéologique, modélisateur — ne restera légitime et significatif que s’il s’éprouve. Et c’est justement à cette mise à l’épreuve que se consacreront les chapitres à venir. Car le paradigme archicratique n’est pas pur appareillage conceptuel, il est avant tout une méthode de dévoilement, une topologie des régimes régulateurs, un cadre opératoire pour penser la viabilité politique en situation. Il ne cherche pas à ajouter une théorie de plus à celles du pouvoir, mais à rendre discernable, dans toute régulation, ce qui la fonde, ce qui l’opère et ce qui la rend — ou ne la rend plus — exposable à l’épreuve.</w:t>
      </w:r>
    </w:p>
    <w:p>
      <w:pPr>
        <w:pStyle w:val="BodyText"/>
      </w:pPr>
      <w:r>
        <w:t xml:space="preserve">Le chapitre I en établira le socle épistémologique rigoureux, en articulant les trois prises fondamentales du modèle — arcalité, cratialité, archicration — à une grammaire formelle et symbolique, pensée comme modèle falsifiable, susceptible de formalisation et d’interprétation. Il posera la structure tripolaire comme condition d’une intelligibilité systémique, traversable tant par l’histoire que par la technique ou la psychologie collective.</w:t>
      </w:r>
    </w:p>
    <w:p>
      <w:pPr>
        <w:pStyle w:val="BodyText"/>
      </w:pPr>
      <w:r>
        <w:t xml:space="preserve">Le chapitre II délaissera toute abstraction normative pour réinscrire le politique dans la généalogie profonde des régimes de co-viabilité. Il retracera, de manière située et incarnée, les formes empiriques de régulation, depuis les dispositifs totémiques mésolithiques jusqu’aux technorégulations cryptographiques contemporaines. Il tentera de montrer que toute société se constitue d’abord comme régime de</w:t>
      </w:r>
      <w:r>
        <w:t xml:space="preserve"> </w:t>
      </w:r>
      <w:r>
        <w:rPr>
          <w:i/>
          <w:iCs/>
        </w:rPr>
        <w:t xml:space="preserve">co-viabilité</w:t>
      </w:r>
      <w:r>
        <w:t xml:space="preserve"> </w:t>
      </w:r>
      <w:r>
        <w:t xml:space="preserve">régulée — dont certaines configurations seulement atteignent un seuil proprement archicratique — bien avant de se penser comme État, comme droit, ou comme nation.</w:t>
      </w:r>
    </w:p>
    <w:p>
      <w:pPr>
        <w:pStyle w:val="BodyText"/>
      </w:pPr>
      <w:r>
        <w:t xml:space="preserve">Le chapitre III, d’inspiration philosophique, viendra tester l’</w:t>
      </w:r>
      <w:r>
        <w:rPr>
          <w:i/>
          <w:iCs/>
        </w:rPr>
        <w:t xml:space="preserve">archicratie</w:t>
      </w:r>
      <w:r>
        <w:t xml:space="preserve"> </w:t>
      </w:r>
      <w:r>
        <w:t xml:space="preserve">comme outil de relecture des grandes pensées du pouvoir. Plutôt que de les aligner par écoles ou doctrines, il les confrontera à une grille archicratique :</w:t>
      </w:r>
      <w:r>
        <w:t xml:space="preserve"> </w:t>
      </w:r>
      <w:r>
        <w:rPr>
          <w:i/>
          <w:iCs/>
        </w:rPr>
        <w:t xml:space="preserve">quelle arcalité y opère ? Quelle cratialité s’y manifeste ? Quelle scène d’épreuve, d’opposition, ou de captation y est rendue possible ou empêchée ?</w:t>
      </w:r>
      <w:r>
        <w:t xml:space="preserve"> </w:t>
      </w:r>
      <w:r>
        <w:t xml:space="preserve">Ce faisant, il opérera un déplacement crucial passant de la justification du pouvoir à la morphologie des régimes de régulation.</w:t>
      </w:r>
    </w:p>
    <w:p>
      <w:pPr>
        <w:pStyle w:val="BodyText"/>
      </w:pPr>
      <w:r>
        <w:t xml:space="preserve">Le chapitre IV, d’orientation techno-historique, incarnera ces tensions dans l’histoire matérielle même de la modernité. Il ne se contentera pas de relire les révolutions industrielles comme des ruptures productives, mais comme des reconfigurations archicratiques profondes. Chaque mutation technique — de la vapeur à l’électricité, du numérique à l’automatisme — a transformé la manière dont un pouvoir se légitime, agit, se distribue ou se dérobe. La technologie, dans sa manifestation même, devient une instance cratiale, et parfois une matrice d’archicration détournée, empêchée ou rendue invisible. C’est donc à une lecture de la régulation des bifurcations industrielles que ce chapitre s’attachera, afin d’en révéler les architectures implicites de pouvoir.</w:t>
      </w:r>
    </w:p>
    <w:p>
      <w:pPr>
        <w:pStyle w:val="BodyText"/>
      </w:pPr>
      <w:r>
        <w:t xml:space="preserve">Enfin, le chapitre V affrontera la conflictualité maximale de notre temps : celle des tensions de co-viabilité. Il abordera, l’une après l’autre, les grandes scènes critiques — économique, écologique, sociale, médiatique, psychique, politique, technologique, géopolitique, cosmopolitique et culturelle — en les traitant non comme objets disciplinaires, mais comme</w:t>
      </w:r>
      <w:r>
        <w:t xml:space="preserve"> </w:t>
      </w:r>
      <w:r>
        <w:rPr>
          <w:i/>
          <w:iCs/>
        </w:rPr>
        <w:t xml:space="preserve">archicrations</w:t>
      </w:r>
      <w:r>
        <w:t xml:space="preserve"> </w:t>
      </w:r>
      <w:r>
        <w:t xml:space="preserve">problématiques. Chaque tension y sera relue comme une bifurcation possible : vers une régulation viable, une impasse pathologique ou une captation silencieuse. Ce chapitre constituera le point de bascule, le test ultime du paradigme archicratique :</w:t>
      </w:r>
      <w:r>
        <w:t xml:space="preserve"> </w:t>
      </w:r>
      <w:r>
        <w:rPr>
          <w:i/>
          <w:iCs/>
        </w:rPr>
        <w:t xml:space="preserve">permet-il de nous aider à discerner, sans dogme, ce qui tient un monde debout — ou le fait vaciller ?</w:t>
      </w:r>
    </w:p>
    <w:p>
      <w:pPr>
        <w:pStyle w:val="BodyText"/>
      </w:pPr>
      <w:r>
        <w:t xml:space="preserve">Cet essai-thèse convie à une lucidité active : observer l’effectivité du pouvoir, discerner l’articulation du fondement et de l’opération, rouvrir des formes de conflictualité légitime. Il propose une lecture critique et située des régulations qui nous gouvernent. Une manière d’observer ce qui se joue, non dans les proclamations du pouvoir, mais dans ses agencements concrets. Une méthode pour discerner les formes différenciées par lesquelles une société s’ajuste, se tient, ou s’effondre.</w:t>
      </w:r>
    </w:p>
    <w:p>
      <w:pPr>
        <w:pStyle w:val="BodyText"/>
      </w:pPr>
      <w:r>
        <w:t xml:space="preserve">Ce livre a pour unique vocation de fonder le concept d’</w:t>
      </w:r>
      <w:r>
        <w:rPr>
          <w:i/>
          <w:iCs/>
        </w:rPr>
        <w:t xml:space="preserve">archicratie</w:t>
      </w:r>
      <w:r>
        <w:t xml:space="preserve"> </w:t>
      </w:r>
      <w:r>
        <w:t xml:space="preserve">— articulé par le triptyque</w:t>
      </w:r>
      <w:r>
        <w:t xml:space="preserve"> </w:t>
      </w:r>
      <w:r>
        <w:rPr>
          <w:i/>
          <w:iCs/>
        </w:rPr>
        <w:t xml:space="preserve">arcalité</w:t>
      </w:r>
      <w:r>
        <w:t xml:space="preserve"> </w:t>
      </w:r>
      <w:r>
        <w:t xml:space="preserve">/</w:t>
      </w:r>
      <w:r>
        <w:t xml:space="preserve"> </w:t>
      </w:r>
      <w:r>
        <w:rPr>
          <w:i/>
          <w:iCs/>
        </w:rPr>
        <w:t xml:space="preserve">cratialité</w:t>
      </w:r>
      <w:r>
        <w:t xml:space="preserve"> </w:t>
      </w:r>
      <w:r>
        <w:t xml:space="preserve">/</w:t>
      </w:r>
      <w:r>
        <w:t xml:space="preserve"> </w:t>
      </w:r>
      <w:r>
        <w:rPr>
          <w:i/>
          <w:iCs/>
        </w:rPr>
        <w:t xml:space="preserve">archicration</w:t>
      </w:r>
      <w:r>
        <w:t xml:space="preserve"> </w:t>
      </w:r>
      <w:r>
        <w:t xml:space="preserve">— comme hypothèse heuristique pour lire les situations politiques réelles et situées. Les mentions de détectabilité, d’opérativité ou d’épreuve critique qui apparaissent çà et là n’engagent aucun protocole métrique dans le présent volume : elles signalent de simples repères de lecture et d’éventuelles pistes de recherche ultérieures. L’ouvrage n’édicte pas de méthode d’évaluation, n’agrège pas d’indicateurs, ne promet pas de simulation ; il propose une grammaire conceptuelle pour rendre intelligibles des configurations de pouvoir.</w:t>
      </w:r>
    </w:p>
    <w:p>
      <w:pPr>
        <w:pStyle w:val="BodyText"/>
      </w:pPr>
      <w:r>
        <w:t xml:space="preserve">Penser l’</w:t>
      </w:r>
      <w:r>
        <w:rPr>
          <w:i/>
          <w:iCs/>
        </w:rPr>
        <w:t xml:space="preserve">archicratie</w:t>
      </w:r>
      <w:r>
        <w:t xml:space="preserve">, ce n’est pas restaurer une essence perdue, ni bâtir un système clos. C’est remettre la pensée politique là où elle devient la plus nécessaire : dans les frictions entre ce qui agit et ce qui justifie ; dans les écarts entre ce qui régule et ce qui est vécu ; dans les tensions entre ce qui tient ensemble et ce qui menace de rompre.</w:t>
      </w:r>
    </w:p>
    <w:p>
      <w:pPr>
        <w:pStyle w:val="BodyText"/>
      </w:pPr>
      <w:r>
        <w:t xml:space="preserve">Ce que propose cette entrée en</w:t>
      </w:r>
      <w:r>
        <w:t xml:space="preserve"> </w:t>
      </w:r>
      <w:r>
        <w:rPr>
          <w:i/>
          <w:iCs/>
        </w:rPr>
        <w:t xml:space="preserve">archicratie</w:t>
      </w:r>
      <w:r>
        <w:t xml:space="preserve">, c’est une autre orientation du regard : vers les conditions d’effectivité du pouvoir, vers les agencements où le fondement et l’opération cessent d’être dissociés, vers les formes nouvelles de conflictualité légitime et de co-viabilité existentielle.</w:t>
      </w:r>
    </w:p>
    <w:p>
      <w:pPr>
        <w:pStyle w:val="BodyText"/>
      </w:pPr>
      <w:r>
        <w:t xml:space="preserve">C’est à ce point précis qu’intervient l’hypothèse de ce livre. Non pour ajouter un terme de plus à la nomenclature déjà saturée des formes de pouvoir, mais pour rendre à nouveau pensable ce qui, dans nos mondes, continue d’ordonner, d’affecter et de tenir sans toujours comparaître. Si les catégories classiques demeurent indispensables, elles ne suffisent plus toujours à décrire les conditions effectives de la régulation. Il faut donc déplacer la question politique elle-même : non plus seulement demander qui gouverne, mais sous quelles formes un monde devient encore habitable, contestable et reprenable. C’est ce déplacement que nous nommons ici archicratie.</w:t>
      </w:r>
    </w:p>
    <w:sectPr>
      <w:type w:val="nextPage"/>
      <w:pgSz w:h="16838" w:w="11906"/>
      <w:pgMar w:bottom="1134" w:footer="0" w:gutter="0" w:header="0" w:left="1134" w:right="1134" w:top="1134"/>
      <w:pgNumType w:fmt="decimal"/>
      <w:formProt w:val="false"/>
      <w:textDirection w:val="lrTb"/>
      <w:docGrid w:charSpace="0" w:linePitch="100" w:type="default"/>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swiss"/>
    <w:pitch w:val="variable"/>
  </w:font>
  <w:font w:name="Symbol">
    <w:charset w:val="01"/>
    <w:family w:val="auto"/>
    <w:pitch w:val="variable"/>
  </w:font>
  <w:font w:name="Symbol">
    <w:charset w:val="02"/>
    <w:family w:val="auto"/>
    <w:pitch w:val="default"/>
  </w:font>
  <w:font w:name="OpenSymbol">
    <w:altName w:val="Arial Unicode MS"/>
    <w:charset w:val="01"/>
    <w:family w:val="auto"/>
    <w:pitch w:val="default"/>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mc="http://schemas.openxmlformats.org/markup-compatibility/2006" xmlns:o="urn:schemas-microsoft-com:office:office" xmlns:r="http://schemas.openxmlformats.org/officeDocument/2006/relationships" xmlns:v="urn:schemas-microsoft-com:vml" xmlns:w="http://schemas.openxmlformats.org/wordprocessingml/2006/main" xmlns:w14="http://schemas.microsoft.com/office/word/2010/wordml" mc:Ignorable="w14">
  <w:abstractNum w:abstractNumId="1">
    <w:lvl w:ilvl="0">
      <w:start w:val="1"/>
      <w:numFmt w:val="none"/>
      <w:suff w:val="nothing"/>
      <w:lvlText w:val=""/>
      <w:lvlJc w:val="start"/>
      <w:pPr>
        <w:tabs>
          <w:tab w:pos="0" w:val="num"/>
        </w:tabs>
        <w:ind w:hanging="0" w:start="0"/>
      </w:pPr>
      <w:rPr/>
    </w:lvl>
    <w:lvl w:ilvl="1">
      <w:start w:val="1"/>
      <w:numFmt w:val="none"/>
      <w:suff w:val="nothing"/>
      <w:lvlText w:val=""/>
      <w:lvlJc w:val="start"/>
      <w:pPr>
        <w:tabs>
          <w:tab w:pos="0" w:val="num"/>
        </w:tabs>
        <w:ind w:hanging="0" w:start="0"/>
      </w:pPr>
      <w:rPr/>
    </w:lvl>
    <w:lvl w:ilvl="2">
      <w:start w:val="1"/>
      <w:numFmt w:val="none"/>
      <w:suff w:val="nothing"/>
      <w:lvlText w:val=""/>
      <w:lvlJc w:val="start"/>
      <w:pPr>
        <w:tabs>
          <w:tab w:pos="0" w:val="num"/>
        </w:tabs>
        <w:ind w:hanging="0" w:start="0"/>
      </w:pPr>
      <w:rPr/>
    </w:lvl>
    <w:lvl w:ilvl="3">
      <w:start w:val="1"/>
      <w:numFmt w:val="none"/>
      <w:suff w:val="nothing"/>
      <w:lvlText w:val=""/>
      <w:lvlJc w:val="start"/>
      <w:pPr>
        <w:tabs>
          <w:tab w:pos="0" w:val="num"/>
        </w:tabs>
        <w:ind w:hanging="0" w:start="0"/>
      </w:pPr>
      <w:rPr/>
    </w:lvl>
    <w:lvl w:ilvl="4">
      <w:start w:val="1"/>
      <w:numFmt w:val="none"/>
      <w:suff w:val="nothing"/>
      <w:lvlText w:val=""/>
      <w:lvlJc w:val="start"/>
      <w:pPr>
        <w:tabs>
          <w:tab w:pos="0" w:val="num"/>
        </w:tabs>
        <w:ind w:hanging="0" w:start="0"/>
      </w:pPr>
      <w:rPr/>
    </w:lvl>
    <w:lvl w:ilvl="5">
      <w:start w:val="1"/>
      <w:numFmt w:val="none"/>
      <w:suff w:val="nothing"/>
      <w:lvlText w:val=""/>
      <w:lvlJc w:val="start"/>
      <w:pPr>
        <w:tabs>
          <w:tab w:pos="0" w:val="num"/>
        </w:tabs>
        <w:ind w:hanging="0" w:start="0"/>
      </w:pPr>
      <w:rPr/>
    </w:lvl>
    <w:lvl w:ilvl="6">
      <w:start w:val="1"/>
      <w:numFmt w:val="none"/>
      <w:suff w:val="nothing"/>
      <w:lvlText w:val=""/>
      <w:lvlJc w:val="start"/>
      <w:pPr>
        <w:tabs>
          <w:tab w:pos="0" w:val="num"/>
        </w:tabs>
        <w:ind w:hanging="0" w:start="0"/>
      </w:pPr>
      <w:rPr/>
    </w:lvl>
    <w:lvl w:ilvl="7">
      <w:start w:val="1"/>
      <w:numFmt w:val="none"/>
      <w:suff w:val="nothing"/>
      <w:lvlText w:val=""/>
      <w:lvlJc w:val="start"/>
      <w:pPr>
        <w:tabs>
          <w:tab w:pos="0" w:val="num"/>
        </w:tabs>
        <w:ind w:hanging="0" w:start="0"/>
      </w:pPr>
      <w:rPr/>
    </w:lvl>
    <w:lvl w:ilvl="8">
      <w:start w:val="1"/>
      <w:numFmt w:val="none"/>
      <w:suff w:val="nothing"/>
      <w:lvlText w:val=""/>
      <w:lvlJc w:val="start"/>
      <w:pPr>
        <w:tabs>
          <w:tab w:pos="0" w:val="num"/>
        </w:tabs>
        <w:ind w:hanging="0" w:start="0"/>
      </w:pPr>
      <w:rPr/>
    </w:lvl>
  </w:abstractNum>
  <w:abstractNum w:abstractNumId="2">
    <w:lvl w:ilvl="0">
      <w:start w:val="1"/>
      <w:numFmt w:val="none"/>
      <w:suff w:val="nothing"/>
      <w:lvlText w:val=""/>
      <w:lvlJc w:val="start"/>
      <w:pPr>
        <w:tabs>
          <w:tab w:pos="0" w:val="num"/>
        </w:tabs>
        <w:ind w:hanging="0" w:start="0"/>
      </w:pPr>
      <w:rPr/>
    </w:lvl>
    <w:lvl w:ilvl="1">
      <w:start w:val="1"/>
      <w:numFmt w:val="none"/>
      <w:suff w:val="nothing"/>
      <w:lvlText w:val=""/>
      <w:lvlJc w:val="start"/>
      <w:pPr>
        <w:tabs>
          <w:tab w:pos="0" w:val="num"/>
        </w:tabs>
        <w:ind w:hanging="0" w:start="0"/>
      </w:pPr>
      <w:rPr/>
    </w:lvl>
    <w:lvl w:ilvl="2">
      <w:start w:val="1"/>
      <w:numFmt w:val="none"/>
      <w:suff w:val="nothing"/>
      <w:lvlText w:val=""/>
      <w:lvlJc w:val="start"/>
      <w:pPr>
        <w:tabs>
          <w:tab w:pos="0" w:val="num"/>
        </w:tabs>
        <w:ind w:hanging="0" w:start="0"/>
      </w:pPr>
      <w:rPr/>
    </w:lvl>
    <w:lvl w:ilvl="3">
      <w:start w:val="1"/>
      <w:numFmt w:val="none"/>
      <w:suff w:val="nothing"/>
      <w:lvlText w:val=""/>
      <w:lvlJc w:val="start"/>
      <w:pPr>
        <w:tabs>
          <w:tab w:pos="0" w:val="num"/>
        </w:tabs>
        <w:ind w:hanging="0" w:start="0"/>
      </w:pPr>
      <w:rPr/>
    </w:lvl>
    <w:lvl w:ilvl="4">
      <w:start w:val="1"/>
      <w:numFmt w:val="none"/>
      <w:suff w:val="nothing"/>
      <w:lvlText w:val=""/>
      <w:lvlJc w:val="start"/>
      <w:pPr>
        <w:tabs>
          <w:tab w:pos="0" w:val="num"/>
        </w:tabs>
        <w:ind w:hanging="0" w:start="0"/>
      </w:pPr>
      <w:rPr/>
    </w:lvl>
    <w:lvl w:ilvl="5">
      <w:start w:val="1"/>
      <w:numFmt w:val="none"/>
      <w:suff w:val="nothing"/>
      <w:lvlText w:val=""/>
      <w:lvlJc w:val="start"/>
      <w:pPr>
        <w:tabs>
          <w:tab w:pos="0" w:val="num"/>
        </w:tabs>
        <w:ind w:hanging="0" w:start="0"/>
      </w:pPr>
      <w:rPr/>
    </w:lvl>
    <w:lvl w:ilvl="6">
      <w:start w:val="1"/>
      <w:numFmt w:val="none"/>
      <w:suff w:val="nothing"/>
      <w:lvlText w:val=""/>
      <w:lvlJc w:val="start"/>
      <w:pPr>
        <w:tabs>
          <w:tab w:pos="0" w:val="num"/>
        </w:tabs>
        <w:ind w:hanging="0" w:start="0"/>
      </w:pPr>
      <w:rPr/>
    </w:lvl>
    <w:lvl w:ilvl="7">
      <w:start w:val="1"/>
      <w:numFmt w:val="none"/>
      <w:suff w:val="nothing"/>
      <w:lvlText w:val=""/>
      <w:lvlJc w:val="start"/>
      <w:pPr>
        <w:tabs>
          <w:tab w:pos="0" w:val="num"/>
        </w:tabs>
        <w:ind w:hanging="0" w:start="0"/>
      </w:pPr>
      <w:rPr/>
    </w:lvl>
    <w:lvl w:ilvl="8">
      <w:start w:val="1"/>
      <w:numFmt w:val="none"/>
      <w:suff w:val="nothing"/>
      <w:lvlText w:val=""/>
      <w:lvlJc w:val="start"/>
      <w:pPr>
        <w:tabs>
          <w:tab w:pos="0" w:val="num"/>
        </w:tabs>
        <w:ind w:hanging="0" w:start="0"/>
      </w:pPr>
      <w:rPr/>
    </w:lvl>
  </w:abstractNum>
  <w:abstractNum w:abstractNumId="3">
    <w:lvl w:ilvl="0">
      <w:start w:val="1"/>
      <w:numFmt w:val="bullet"/>
      <w:lvlText w:val=""/>
      <w:lvlJc w:val="start"/>
      <w:pPr>
        <w:tabs>
          <w:tab w:pos="720" w:val="num"/>
        </w:tabs>
        <w:ind w:hanging="360" w:start="720"/>
      </w:pPr>
      <w:rPr>
        <w:rFonts w:ascii="Symbol" w:cs="Symbol" w:hAnsi="Symbol" w:hint="default"/>
      </w:rPr>
    </w:lvl>
    <w:lvl w:ilvl="1">
      <w:start w:val="1"/>
      <w:numFmt w:val="bullet"/>
      <w:lvlText w:val=""/>
      <w:lvlJc w:val="start"/>
      <w:pPr>
        <w:tabs>
          <w:tab w:pos="1080" w:val="num"/>
        </w:tabs>
        <w:ind w:hanging="360" w:start="1080"/>
      </w:pPr>
      <w:rPr>
        <w:rFonts w:ascii="Symbol" w:cs="Symbol" w:hAnsi="Symbol" w:hint="default"/>
      </w:rPr>
    </w:lvl>
    <w:lvl w:ilvl="2">
      <w:start w:val="1"/>
      <w:numFmt w:val="bullet"/>
      <w:lvlText w:val=""/>
      <w:lvlJc w:val="start"/>
      <w:pPr>
        <w:tabs>
          <w:tab w:pos="1440" w:val="num"/>
        </w:tabs>
        <w:ind w:hanging="360" w:start="1440"/>
      </w:pPr>
      <w:rPr>
        <w:rFonts w:ascii="Symbol" w:cs="Symbol" w:hAnsi="Symbol" w:hint="default"/>
      </w:rPr>
    </w:lvl>
    <w:lvl w:ilvl="3">
      <w:start w:val="1"/>
      <w:numFmt w:val="bullet"/>
      <w:lvlText w:val=""/>
      <w:lvlJc w:val="start"/>
      <w:pPr>
        <w:tabs>
          <w:tab w:pos="1800" w:val="num"/>
        </w:tabs>
        <w:ind w:hanging="360" w:start="1800"/>
      </w:pPr>
      <w:rPr>
        <w:rFonts w:ascii="Symbol" w:cs="Symbol" w:hAnsi="Symbol" w:hint="default"/>
      </w:rPr>
    </w:lvl>
    <w:lvl w:ilvl="4">
      <w:start w:val="1"/>
      <w:numFmt w:val="bullet"/>
      <w:lvlText w:val=""/>
      <w:lvlJc w:val="start"/>
      <w:pPr>
        <w:tabs>
          <w:tab w:pos="2160" w:val="num"/>
        </w:tabs>
        <w:ind w:hanging="360" w:start="2160"/>
      </w:pPr>
      <w:rPr>
        <w:rFonts w:ascii="Symbol" w:cs="Symbol" w:hAnsi="Symbol" w:hint="default"/>
      </w:rPr>
    </w:lvl>
    <w:lvl w:ilvl="5">
      <w:start w:val="1"/>
      <w:numFmt w:val="bullet"/>
      <w:lvlText w:val=""/>
      <w:lvlJc w:val="start"/>
      <w:pPr>
        <w:tabs>
          <w:tab w:pos="2520" w:val="num"/>
        </w:tabs>
        <w:ind w:hanging="360" w:start="2520"/>
      </w:pPr>
      <w:rPr>
        <w:rFonts w:ascii="Symbol" w:cs="Symbol" w:hAnsi="Symbol" w:hint="default"/>
      </w:rPr>
    </w:lvl>
    <w:lvl w:ilvl="6">
      <w:start w:val="1"/>
      <w:numFmt w:val="bullet"/>
      <w:lvlText w:val=""/>
      <w:lvlJc w:val="start"/>
      <w:pPr>
        <w:tabs>
          <w:tab w:pos="2880" w:val="num"/>
        </w:tabs>
        <w:ind w:hanging="360" w:start="2880"/>
      </w:pPr>
      <w:rPr>
        <w:rFonts w:ascii="Symbol" w:cs="Symbol" w:hAnsi="Symbol" w:hint="default"/>
      </w:rPr>
    </w:lvl>
    <w:lvl w:ilvl="7">
      <w:start w:val="1"/>
      <w:numFmt w:val="bullet"/>
      <w:lvlText w:val=""/>
      <w:lvlJc w:val="start"/>
      <w:pPr>
        <w:tabs>
          <w:tab w:pos="3240" w:val="num"/>
        </w:tabs>
        <w:ind w:hanging="360" w:start="3240"/>
      </w:pPr>
      <w:rPr>
        <w:rFonts w:ascii="Symbol" w:cs="Symbol" w:hAnsi="Symbol" w:hint="default"/>
      </w:rPr>
    </w:lvl>
    <w:lvl w:ilvl="8">
      <w:start w:val="1"/>
      <w:numFmt w:val="bullet"/>
      <w:lvlText w:val=""/>
      <w:lvlJc w:val="start"/>
      <w:pPr>
        <w:tabs>
          <w:tab w:pos="3600" w:val="num"/>
        </w:tabs>
        <w:ind w:hanging="360" w:start="3600"/>
      </w:pPr>
      <w:rPr>
        <w:rFonts w:ascii="Symbol" w:cs="Symbol" w:hAnsi="Symbol" w:hint="default"/>
      </w:rPr>
    </w:lvl>
  </w:abstractNum>
  <w:abstractNum w:abstractNumId="4">
    <w:lvl w:ilvl="0">
      <w:start w:val="1"/>
      <w:numFmt w:val="bullet"/>
      <w:lvlText w:val=""/>
      <w:lvlJc w:val="start"/>
      <w:pPr>
        <w:tabs>
          <w:tab w:pos="720" w:val="num"/>
        </w:tabs>
        <w:ind w:hanging="360" w:start="720"/>
      </w:pPr>
      <w:rPr>
        <w:rFonts w:ascii="Symbol" w:cs="Symbol" w:hAnsi="Symbol" w:hint="default"/>
      </w:rPr>
    </w:lvl>
    <w:lvl w:ilvl="1">
      <w:start w:val="1"/>
      <w:numFmt w:val="bullet"/>
      <w:lvlText w:val=""/>
      <w:lvlJc w:val="start"/>
      <w:pPr>
        <w:tabs>
          <w:tab w:pos="1080" w:val="num"/>
        </w:tabs>
        <w:ind w:hanging="360" w:start="1080"/>
      </w:pPr>
      <w:rPr>
        <w:rFonts w:ascii="Symbol" w:cs="Symbol" w:hAnsi="Symbol" w:hint="default"/>
      </w:rPr>
    </w:lvl>
    <w:lvl w:ilvl="2">
      <w:start w:val="1"/>
      <w:numFmt w:val="bullet"/>
      <w:lvlText w:val=""/>
      <w:lvlJc w:val="start"/>
      <w:pPr>
        <w:tabs>
          <w:tab w:pos="1440" w:val="num"/>
        </w:tabs>
        <w:ind w:hanging="360" w:start="1440"/>
      </w:pPr>
      <w:rPr>
        <w:rFonts w:ascii="Symbol" w:cs="Symbol" w:hAnsi="Symbol" w:hint="default"/>
      </w:rPr>
    </w:lvl>
    <w:lvl w:ilvl="3">
      <w:start w:val="1"/>
      <w:numFmt w:val="bullet"/>
      <w:lvlText w:val=""/>
      <w:lvlJc w:val="start"/>
      <w:pPr>
        <w:tabs>
          <w:tab w:pos="1800" w:val="num"/>
        </w:tabs>
        <w:ind w:hanging="360" w:start="1800"/>
      </w:pPr>
      <w:rPr>
        <w:rFonts w:ascii="Symbol" w:cs="Symbol" w:hAnsi="Symbol" w:hint="default"/>
      </w:rPr>
    </w:lvl>
    <w:lvl w:ilvl="4">
      <w:start w:val="1"/>
      <w:numFmt w:val="bullet"/>
      <w:lvlText w:val=""/>
      <w:lvlJc w:val="start"/>
      <w:pPr>
        <w:tabs>
          <w:tab w:pos="2160" w:val="num"/>
        </w:tabs>
        <w:ind w:hanging="360" w:start="2160"/>
      </w:pPr>
      <w:rPr>
        <w:rFonts w:ascii="Symbol" w:cs="Symbol" w:hAnsi="Symbol" w:hint="default"/>
      </w:rPr>
    </w:lvl>
    <w:lvl w:ilvl="5">
      <w:start w:val="1"/>
      <w:numFmt w:val="bullet"/>
      <w:lvlText w:val=""/>
      <w:lvlJc w:val="start"/>
      <w:pPr>
        <w:tabs>
          <w:tab w:pos="2520" w:val="num"/>
        </w:tabs>
        <w:ind w:hanging="360" w:start="2520"/>
      </w:pPr>
      <w:rPr>
        <w:rFonts w:ascii="Symbol" w:cs="Symbol" w:hAnsi="Symbol" w:hint="default"/>
      </w:rPr>
    </w:lvl>
    <w:lvl w:ilvl="6">
      <w:start w:val="1"/>
      <w:numFmt w:val="bullet"/>
      <w:lvlText w:val=""/>
      <w:lvlJc w:val="start"/>
      <w:pPr>
        <w:tabs>
          <w:tab w:pos="2880" w:val="num"/>
        </w:tabs>
        <w:ind w:hanging="360" w:start="2880"/>
      </w:pPr>
      <w:rPr>
        <w:rFonts w:ascii="Symbol" w:cs="Symbol" w:hAnsi="Symbol" w:hint="default"/>
      </w:rPr>
    </w:lvl>
    <w:lvl w:ilvl="7">
      <w:start w:val="1"/>
      <w:numFmt w:val="bullet"/>
      <w:lvlText w:val=""/>
      <w:lvlJc w:val="start"/>
      <w:pPr>
        <w:tabs>
          <w:tab w:pos="3240" w:val="num"/>
        </w:tabs>
        <w:ind w:hanging="360" w:start="3240"/>
      </w:pPr>
      <w:rPr>
        <w:rFonts w:ascii="Symbol" w:cs="Symbol" w:hAnsi="Symbol" w:hint="default"/>
      </w:rPr>
    </w:lvl>
    <w:lvl w:ilvl="8">
      <w:start w:val="1"/>
      <w:numFmt w:val="bullet"/>
      <w:lvlText w:val=""/>
      <w:lvlJc w:val="start"/>
      <w:pPr>
        <w:tabs>
          <w:tab w:pos="3600" w:val="num"/>
        </w:tabs>
        <w:ind w:hanging="360" w:start="3600"/>
      </w:pPr>
      <w:rPr>
        <w:rFonts w:ascii="Symbol" w:cs="Symbol" w:hAnsi="Symbol" w:hint="default"/>
      </w:rPr>
    </w:lvl>
  </w:abstractNum>
  <w:abstractNum w:abstractNumId="5">
    <w:lvl w:ilvl="0">
      <w:start w:val="1"/>
      <w:numFmt w:val="bullet"/>
      <w:lvlText w:val=""/>
      <w:lvlJc w:val="start"/>
      <w:pPr>
        <w:tabs>
          <w:tab w:pos="720" w:val="num"/>
        </w:tabs>
        <w:ind w:hanging="360" w:start="720"/>
      </w:pPr>
      <w:rPr>
        <w:rFonts w:ascii="Symbol" w:cs="Symbol" w:hAnsi="Symbol" w:hint="default"/>
      </w:rPr>
    </w:lvl>
    <w:lvl w:ilvl="1">
      <w:start w:val="1"/>
      <w:numFmt w:val="bullet"/>
      <w:lvlText w:val=""/>
      <w:lvlJc w:val="start"/>
      <w:pPr>
        <w:tabs>
          <w:tab w:pos="1080" w:val="num"/>
        </w:tabs>
        <w:ind w:hanging="360" w:start="1080"/>
      </w:pPr>
      <w:rPr>
        <w:rFonts w:ascii="Symbol" w:cs="Symbol" w:hAnsi="Symbol" w:hint="default"/>
      </w:rPr>
    </w:lvl>
    <w:lvl w:ilvl="2">
      <w:start w:val="1"/>
      <w:numFmt w:val="bullet"/>
      <w:lvlText w:val=""/>
      <w:lvlJc w:val="start"/>
      <w:pPr>
        <w:tabs>
          <w:tab w:pos="1440" w:val="num"/>
        </w:tabs>
        <w:ind w:hanging="360" w:start="1440"/>
      </w:pPr>
      <w:rPr>
        <w:rFonts w:ascii="Symbol" w:cs="Symbol" w:hAnsi="Symbol" w:hint="default"/>
      </w:rPr>
    </w:lvl>
    <w:lvl w:ilvl="3">
      <w:start w:val="1"/>
      <w:numFmt w:val="bullet"/>
      <w:lvlText w:val=""/>
      <w:lvlJc w:val="start"/>
      <w:pPr>
        <w:tabs>
          <w:tab w:pos="1800" w:val="num"/>
        </w:tabs>
        <w:ind w:hanging="360" w:start="1800"/>
      </w:pPr>
      <w:rPr>
        <w:rFonts w:ascii="Symbol" w:cs="Symbol" w:hAnsi="Symbol" w:hint="default"/>
      </w:rPr>
    </w:lvl>
    <w:lvl w:ilvl="4">
      <w:start w:val="1"/>
      <w:numFmt w:val="bullet"/>
      <w:lvlText w:val=""/>
      <w:lvlJc w:val="start"/>
      <w:pPr>
        <w:tabs>
          <w:tab w:pos="2160" w:val="num"/>
        </w:tabs>
        <w:ind w:hanging="360" w:start="2160"/>
      </w:pPr>
      <w:rPr>
        <w:rFonts w:ascii="Symbol" w:cs="Symbol" w:hAnsi="Symbol" w:hint="default"/>
      </w:rPr>
    </w:lvl>
    <w:lvl w:ilvl="5">
      <w:start w:val="1"/>
      <w:numFmt w:val="bullet"/>
      <w:lvlText w:val=""/>
      <w:lvlJc w:val="start"/>
      <w:pPr>
        <w:tabs>
          <w:tab w:pos="2520" w:val="num"/>
        </w:tabs>
        <w:ind w:hanging="360" w:start="2520"/>
      </w:pPr>
      <w:rPr>
        <w:rFonts w:ascii="Symbol" w:cs="Symbol" w:hAnsi="Symbol" w:hint="default"/>
      </w:rPr>
    </w:lvl>
    <w:lvl w:ilvl="6">
      <w:start w:val="1"/>
      <w:numFmt w:val="bullet"/>
      <w:lvlText w:val=""/>
      <w:lvlJc w:val="start"/>
      <w:pPr>
        <w:tabs>
          <w:tab w:pos="2880" w:val="num"/>
        </w:tabs>
        <w:ind w:hanging="360" w:start="2880"/>
      </w:pPr>
      <w:rPr>
        <w:rFonts w:ascii="Symbol" w:cs="Symbol" w:hAnsi="Symbol" w:hint="default"/>
      </w:rPr>
    </w:lvl>
    <w:lvl w:ilvl="7">
      <w:start w:val="1"/>
      <w:numFmt w:val="bullet"/>
      <w:lvlText w:val=""/>
      <w:lvlJc w:val="start"/>
      <w:pPr>
        <w:tabs>
          <w:tab w:pos="3240" w:val="num"/>
        </w:tabs>
        <w:ind w:hanging="360" w:start="3240"/>
      </w:pPr>
      <w:rPr>
        <w:rFonts w:ascii="Symbol" w:cs="Symbol" w:hAnsi="Symbol" w:hint="default"/>
      </w:rPr>
    </w:lvl>
    <w:lvl w:ilvl="8">
      <w:start w:val="1"/>
      <w:numFmt w:val="bullet"/>
      <w:lvlText w:val=""/>
      <w:lvlJc w:val="start"/>
      <w:pPr>
        <w:tabs>
          <w:tab w:pos="3600" w:val="num"/>
        </w:tabs>
        <w:ind w:hanging="360" w:start="3600"/>
      </w:pPr>
      <w:rPr>
        <w:rFonts w:ascii="Symbol" w:cs="Symbol" w:hAnsi="Symbol" w:hint="default"/>
      </w:rPr>
    </w:lvl>
  </w:abstractNum>
  <w:abstractNum w:abstractNumId="6">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7">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8">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9">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10">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11">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12">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13">
    <w:lvl w:ilvl="0">
      <w:start w:val="1"/>
      <w:numFmt w:val="bullet"/>
      <w:lvlText w:val=""/>
      <w:lvlJc w:val="start"/>
      <w:pPr>
        <w:tabs>
          <w:tab w:pos="709" w:val="num"/>
        </w:tabs>
        <w:ind w:hanging="283" w:start="709"/>
      </w:pPr>
      <w:rPr>
        <w:rFonts w:ascii="Symbol" w:cs="Symbol" w:hAnsi="Symbol" w:hint="default"/>
      </w:rPr>
    </w:lvl>
    <w:lvl w:ilvl="1">
      <w:start w:val="1"/>
      <w:numFmt w:val="bullet"/>
      <w:lvlText w:val=""/>
      <w:lvlJc w:val="start"/>
      <w:pPr>
        <w:tabs>
          <w:tab w:pos="1418" w:val="num"/>
        </w:tabs>
        <w:ind w:hanging="283" w:start="1418"/>
      </w:pPr>
      <w:rPr>
        <w:rFonts w:ascii="Symbol" w:cs="Symbol" w:hAnsi="Symbol" w:hint="default"/>
      </w:rPr>
    </w:lvl>
    <w:lvl w:ilvl="2">
      <w:start w:val="1"/>
      <w:numFmt w:val="bullet"/>
      <w:lvlText w:val=""/>
      <w:lvlJc w:val="start"/>
      <w:pPr>
        <w:tabs>
          <w:tab w:pos="2127" w:val="num"/>
        </w:tabs>
        <w:ind w:hanging="283" w:start="2127"/>
      </w:pPr>
      <w:rPr>
        <w:rFonts w:ascii="Symbol" w:cs="Symbol" w:hAnsi="Symbol" w:hint="default"/>
      </w:rPr>
    </w:lvl>
    <w:lvl w:ilvl="3">
      <w:start w:val="1"/>
      <w:numFmt w:val="bullet"/>
      <w:lvlText w:val=""/>
      <w:lvlJc w:val="start"/>
      <w:pPr>
        <w:tabs>
          <w:tab w:pos="2836" w:val="num"/>
        </w:tabs>
        <w:ind w:hanging="283" w:start="2836"/>
      </w:pPr>
      <w:rPr>
        <w:rFonts w:ascii="Symbol" w:cs="Symbol" w:hAnsi="Symbol" w:hint="default"/>
      </w:rPr>
    </w:lvl>
    <w:lvl w:ilvl="4">
      <w:start w:val="1"/>
      <w:numFmt w:val="bullet"/>
      <w:lvlText w:val=""/>
      <w:lvlJc w:val="start"/>
      <w:pPr>
        <w:tabs>
          <w:tab w:pos="3545" w:val="num"/>
        </w:tabs>
        <w:ind w:hanging="283" w:start="3545"/>
      </w:pPr>
      <w:rPr>
        <w:rFonts w:ascii="Symbol" w:cs="Symbol" w:hAnsi="Symbol" w:hint="default"/>
      </w:rPr>
    </w:lvl>
    <w:lvl w:ilvl="5">
      <w:start w:val="1"/>
      <w:numFmt w:val="bullet"/>
      <w:lvlText w:val=""/>
      <w:lvlJc w:val="start"/>
      <w:pPr>
        <w:tabs>
          <w:tab w:pos="4254" w:val="num"/>
        </w:tabs>
        <w:ind w:hanging="283" w:start="4254"/>
      </w:pPr>
      <w:rPr>
        <w:rFonts w:ascii="Symbol" w:cs="Symbol" w:hAnsi="Symbol" w:hint="default"/>
      </w:rPr>
    </w:lvl>
    <w:lvl w:ilvl="6">
      <w:start w:val="1"/>
      <w:numFmt w:val="bullet"/>
      <w:lvlText w:val=""/>
      <w:lvlJc w:val="start"/>
      <w:pPr>
        <w:tabs>
          <w:tab w:pos="4963" w:val="num"/>
        </w:tabs>
        <w:ind w:hanging="283" w:start="4963"/>
      </w:pPr>
      <w:rPr>
        <w:rFonts w:ascii="Symbol" w:cs="Symbol" w:hAnsi="Symbol" w:hint="default"/>
      </w:rPr>
    </w:lvl>
    <w:lvl w:ilvl="7">
      <w:start w:val="1"/>
      <w:numFmt w:val="bullet"/>
      <w:lvlText w:val=""/>
      <w:lvlJc w:val="start"/>
      <w:pPr>
        <w:tabs>
          <w:tab w:pos="5672" w:val="num"/>
        </w:tabs>
        <w:ind w:hanging="283" w:start="5672"/>
      </w:pPr>
      <w:rPr>
        <w:rFonts w:ascii="Symbol" w:cs="Symbol" w:hAnsi="Symbol" w:hint="default"/>
      </w:rPr>
    </w:lvl>
    <w:lvl w:ilvl="8">
      <w:start w:val="1"/>
      <w:numFmt w:val="bullet"/>
      <w:lvlText w:val=""/>
      <w:lvlJc w:val="start"/>
      <w:pPr>
        <w:tabs>
          <w:tab w:pos="6381" w:val="num"/>
        </w:tabs>
        <w:ind w:hanging="283" w:start="6381"/>
      </w:pPr>
      <w:rPr>
        <w:rFonts w:ascii="Symbol" w:cs="Symbol" w:hAnsi="Symbol" w:hint="default"/>
      </w:rPr>
    </w:lvl>
  </w:abstractNum>
  <w:abstractNum w:abstractNumId="14">
    <w:lvl w:ilvl="0">
      <w:start w:val="1"/>
      <w:numFmt w:val="bullet"/>
      <w:lvlText w:val=""/>
      <w:lvlJc w:val="start"/>
      <w:pPr>
        <w:tabs>
          <w:tab w:pos="720" w:val="num"/>
        </w:tabs>
        <w:ind w:hanging="360" w:start="720"/>
      </w:pPr>
      <w:rPr>
        <w:rFonts w:ascii="Symbol" w:cs="Symbol" w:hAnsi="Symbol" w:hint="default"/>
      </w:rPr>
    </w:lvl>
    <w:lvl w:ilvl="1">
      <w:start w:val="1"/>
      <w:numFmt w:val="bullet"/>
      <w:lvlText w:val="◦"/>
      <w:lvlJc w:val="start"/>
      <w:pPr>
        <w:tabs>
          <w:tab w:pos="1080" w:val="num"/>
        </w:tabs>
        <w:ind w:hanging="360" w:start="1080"/>
      </w:pPr>
      <w:rPr>
        <w:rFonts w:ascii="OpenSymbol" w:cs="OpenSymbol" w:hAnsi="OpenSymbol" w:hint="default"/>
      </w:rPr>
    </w:lvl>
    <w:lvl w:ilvl="2">
      <w:start w:val="1"/>
      <w:numFmt w:val="bullet"/>
      <w:lvlText w:val="▪"/>
      <w:lvlJc w:val="start"/>
      <w:pPr>
        <w:tabs>
          <w:tab w:pos="1440" w:val="num"/>
        </w:tabs>
        <w:ind w:hanging="360" w:start="1440"/>
      </w:pPr>
      <w:rPr>
        <w:rFonts w:ascii="OpenSymbol" w:cs="OpenSymbol" w:hAnsi="OpenSymbol" w:hint="default"/>
      </w:rPr>
    </w:lvl>
    <w:lvl w:ilvl="3">
      <w:start w:val="1"/>
      <w:numFmt w:val="bullet"/>
      <w:lvlText w:val=""/>
      <w:lvlJc w:val="start"/>
      <w:pPr>
        <w:tabs>
          <w:tab w:pos="1800" w:val="num"/>
        </w:tabs>
        <w:ind w:hanging="360" w:start="1800"/>
      </w:pPr>
      <w:rPr>
        <w:rFonts w:ascii="Symbol" w:cs="Symbol" w:hAnsi="Symbol" w:hint="default"/>
      </w:rPr>
    </w:lvl>
    <w:lvl w:ilvl="4">
      <w:start w:val="1"/>
      <w:numFmt w:val="bullet"/>
      <w:lvlText w:val="◦"/>
      <w:lvlJc w:val="start"/>
      <w:pPr>
        <w:tabs>
          <w:tab w:pos="2160" w:val="num"/>
        </w:tabs>
        <w:ind w:hanging="360" w:start="2160"/>
      </w:pPr>
      <w:rPr>
        <w:rFonts w:ascii="OpenSymbol" w:cs="OpenSymbol" w:hAnsi="OpenSymbol" w:hint="default"/>
      </w:rPr>
    </w:lvl>
    <w:lvl w:ilvl="5">
      <w:start w:val="1"/>
      <w:numFmt w:val="bullet"/>
      <w:lvlText w:val="▪"/>
      <w:lvlJc w:val="start"/>
      <w:pPr>
        <w:tabs>
          <w:tab w:pos="2520" w:val="num"/>
        </w:tabs>
        <w:ind w:hanging="360" w:start="2520"/>
      </w:pPr>
      <w:rPr>
        <w:rFonts w:ascii="OpenSymbol" w:cs="OpenSymbol" w:hAnsi="OpenSymbol" w:hint="default"/>
      </w:rPr>
    </w:lvl>
    <w:lvl w:ilvl="6">
      <w:start w:val="1"/>
      <w:numFmt w:val="bullet"/>
      <w:lvlText w:val=""/>
      <w:lvlJc w:val="start"/>
      <w:pPr>
        <w:tabs>
          <w:tab w:pos="2880" w:val="num"/>
        </w:tabs>
        <w:ind w:hanging="360" w:start="2880"/>
      </w:pPr>
      <w:rPr>
        <w:rFonts w:ascii="Symbol" w:cs="Symbol" w:hAnsi="Symbol" w:hint="default"/>
      </w:rPr>
    </w:lvl>
    <w:lvl w:ilvl="7">
      <w:start w:val="1"/>
      <w:numFmt w:val="bullet"/>
      <w:lvlText w:val="◦"/>
      <w:lvlJc w:val="start"/>
      <w:pPr>
        <w:tabs>
          <w:tab w:pos="3240" w:val="num"/>
        </w:tabs>
        <w:ind w:hanging="360" w:start="3240"/>
      </w:pPr>
      <w:rPr>
        <w:rFonts w:ascii="OpenSymbol" w:cs="OpenSymbol" w:hAnsi="OpenSymbol" w:hint="default"/>
      </w:rPr>
    </w:lvl>
    <w:lvl w:ilvl="8">
      <w:start w:val="1"/>
      <w:numFmt w:val="bullet"/>
      <w:lvlText w:val="▪"/>
      <w:lvlJc w:val="start"/>
      <w:pPr>
        <w:tabs>
          <w:tab w:pos="3600" w:val="num"/>
        </w:tabs>
        <w:ind w:hanging="360" w:start="3600"/>
      </w:pPr>
      <w:rPr>
        <w:rFonts w:ascii="OpenSymbol" w:cs="OpenSymbol" w:hAnsi="OpenSymbol" w:hint="default"/>
      </w:rPr>
    </w:lvl>
  </w:abstractNum>
  <w:abstractNum w:abstractNumId="15">
    <w:lvl w:ilvl="0">
      <w:start w:val="1"/>
      <w:numFmt w:val="none"/>
      <w:suff w:val="nothing"/>
      <w:lvlText w:val=""/>
      <w:lvlJc w:val="start"/>
      <w:pPr>
        <w:tabs>
          <w:tab w:pos="0" w:val="num"/>
        </w:tabs>
        <w:ind w:hanging="0" w:start="0"/>
      </w:pPr>
    </w:lvl>
    <w:lvl w:ilvl="1">
      <w:start w:val="1"/>
      <w:numFmt w:val="none"/>
      <w:suff w:val="nothing"/>
      <w:lvlText w:val=""/>
      <w:lvlJc w:val="start"/>
      <w:pPr>
        <w:tabs>
          <w:tab w:pos="0" w:val="num"/>
        </w:tabs>
        <w:ind w:hanging="0" w:start="0"/>
      </w:pPr>
    </w:lvl>
    <w:lvl w:ilvl="2">
      <w:start w:val="1"/>
      <w:numFmt w:val="none"/>
      <w:suff w:val="nothing"/>
      <w:lvlText w:val=""/>
      <w:lvlJc w:val="start"/>
      <w:pPr>
        <w:tabs>
          <w:tab w:pos="0" w:val="num"/>
        </w:tabs>
        <w:ind w:hanging="0" w:start="0"/>
      </w:pPr>
    </w:lvl>
    <w:lvl w:ilvl="3">
      <w:start w:val="1"/>
      <w:numFmt w:val="none"/>
      <w:suff w:val="nothing"/>
      <w:lvlText w:val=""/>
      <w:lvlJc w:val="start"/>
      <w:pPr>
        <w:tabs>
          <w:tab w:pos="0" w:val="num"/>
        </w:tabs>
        <w:ind w:hanging="0" w:start="0"/>
      </w:pPr>
    </w:lvl>
    <w:lvl w:ilvl="4">
      <w:start w:val="1"/>
      <w:numFmt w:val="none"/>
      <w:suff w:val="nothing"/>
      <w:lvlText w:val=""/>
      <w:lvlJc w:val="start"/>
      <w:pPr>
        <w:tabs>
          <w:tab w:pos="0" w:val="num"/>
        </w:tabs>
        <w:ind w:hanging="0" w:start="0"/>
      </w:pPr>
    </w:lvl>
    <w:lvl w:ilvl="5">
      <w:start w:val="1"/>
      <w:numFmt w:val="none"/>
      <w:suff w:val="nothing"/>
      <w:lvlText w:val=""/>
      <w:lvlJc w:val="start"/>
      <w:pPr>
        <w:tabs>
          <w:tab w:pos="0" w:val="num"/>
        </w:tabs>
        <w:ind w:hanging="0" w:start="0"/>
      </w:pPr>
    </w:lvl>
    <w:lvl w:ilvl="6">
      <w:start w:val="1"/>
      <w:numFmt w:val="none"/>
      <w:suff w:val="nothing"/>
      <w:lvlText w:val=""/>
      <w:lvlJc w:val="start"/>
      <w:pPr>
        <w:tabs>
          <w:tab w:pos="0" w:val="num"/>
        </w:tabs>
        <w:ind w:hanging="0" w:start="0"/>
      </w:pPr>
    </w:lvl>
    <w:lvl w:ilvl="7">
      <w:start w:val="1"/>
      <w:numFmt w:val="none"/>
      <w:suff w:val="nothing"/>
      <w:lvlText w:val=""/>
      <w:lvlJc w:val="start"/>
      <w:pPr>
        <w:tabs>
          <w:tab w:pos="0" w:val="num"/>
        </w:tabs>
        <w:ind w:hanging="0" w:start="0"/>
      </w:pPr>
    </w:lvl>
    <w:lvl w:ilvl="8">
      <w:start w:val="1"/>
      <w:numFmt w:val="none"/>
      <w:suff w:val="nothing"/>
      <w:lvlText w:val=""/>
      <w:lvlJc w:val="start"/>
      <w:pPr>
        <w:tabs>
          <w:tab w:pos="0" w:val="num"/>
        </w:tabs>
        <w:ind w:hanging="0" w:start="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41" w:val="bestFit"/>
  <w:embedSystemFonts/>
  <w:proofState w:grammar="clean" w:spelling="clean"/>
  <w:stylePaneFormatFilter w:val="0004"/>
  <w:doNotTrackMoves/>
  <w:defaultTabStop w:val="709"/>
  <w:autoHyphenation w:val="true"/>
  <w:hyphenationZone w:val="0"/>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rsids>
  </w:rsids>
  <w:themeFontLang w:bidi="" w:eastAsia="" w:val=""/>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Liberation Serif" w:cs="Arial Unicode MS" w:eastAsia="Songti SC" w:hAnsi="Liberation Serif"/>
        <w:kern w:val="2"/>
        <w:sz w:val="24"/>
        <w:szCs w:val="24"/>
        <w:lang w:bidi="hi-IN" w:eastAsia="zh-CN" w:val="fr-FR"/>
      </w:rPr>
    </w:rPrDefault>
    <w:pPrDefault>
      <w:pPr>
        <w:suppressAutoHyphens w:val="true"/>
      </w:pPr>
    </w:pPrDefault>
  </w:docDefaults>
  <w:style w:styleId="Normal" w:type="paragraph">
    <w:name w:val="Normal"/>
    <w:qFormat/>
    <w:pPr>
      <w:widowControl/>
      <w:suppressAutoHyphens w:val="true"/>
      <w:bidi w:val="0"/>
      <w:spacing w:after="0" w:before="0"/>
      <w:jc w:val="start"/>
    </w:pPr>
    <w:rPr>
      <w:rFonts w:ascii="Liberation Serif" w:cs="Arial Unicode MS" w:eastAsia="Songti SC" w:hAnsi="Liberation Serif"/>
      <w:color w:val="auto"/>
      <w:kern w:val="2"/>
      <w:sz w:val="24"/>
      <w:szCs w:val="24"/>
      <w:lang w:bidi="hi-IN" w:eastAsia="zh-CN" w:val="fr-FR"/>
    </w:rPr>
  </w:style>
  <w:style w:styleId="Heading1" w:type="paragraph">
    <w:name w:val="heading 1"/>
    <w:basedOn w:val="Titreuser"/>
    <w:next w:val="BodyText"/>
    <w:qFormat/>
    <w:pPr>
      <w:numPr>
        <w:ilvl w:val="0"/>
        <w:numId w:val="2"/>
      </w:numPr>
      <w:spacing w:after="120" w:before="240"/>
      <w:outlineLvl w:val="0"/>
    </w:pPr>
    <w:rPr>
      <w:rFonts w:ascii="Liberation Serif" w:cs="Arial Unicode MS" w:eastAsia="Songti SC" w:hAnsi="Liberation Serif"/>
      <w:b/>
      <w:bCs/>
      <w:i w:val="false"/>
      <w:sz w:val="44"/>
      <w:szCs w:val="48"/>
    </w:rPr>
  </w:style>
  <w:style w:styleId="Heading2" w:type="paragraph">
    <w:name w:val="heading 2"/>
    <w:basedOn w:val="Titreuser"/>
    <w:next w:val="BodyText"/>
    <w:qFormat/>
    <w:pPr>
      <w:numPr>
        <w:ilvl w:val="1"/>
        <w:numId w:val="2"/>
      </w:numPr>
      <w:spacing w:after="120" w:before="200"/>
      <w:outlineLvl w:val="1"/>
    </w:pPr>
    <w:rPr>
      <w:rFonts w:ascii="Liberation Serif" w:cs="Arial Unicode MS" w:eastAsia="Songti SC" w:hAnsi="Liberation Serif"/>
      <w:b/>
      <w:bCs/>
      <w:sz w:val="40"/>
      <w:szCs w:val="36"/>
    </w:rPr>
  </w:style>
  <w:style w:styleId="Heading3" w:type="paragraph">
    <w:name w:val="heading 3"/>
    <w:basedOn w:val="Titreuser"/>
    <w:next w:val="BodyText"/>
    <w:qFormat/>
    <w:pPr>
      <w:numPr>
        <w:ilvl w:val="2"/>
        <w:numId w:val="2"/>
      </w:numPr>
      <w:spacing w:after="120" w:before="140"/>
      <w:outlineLvl w:val="2"/>
    </w:pPr>
    <w:rPr>
      <w:rFonts w:ascii="Liberation Serif" w:cs="Arial Unicode MS" w:eastAsia="Songti SC" w:hAnsi="Liberation Serif"/>
      <w:b/>
      <w:bCs/>
      <w:sz w:val="36"/>
      <w:szCs w:val="28"/>
    </w:rPr>
  </w:style>
  <w:style w:styleId="Heading4" w:type="paragraph">
    <w:name w:val="heading 4"/>
    <w:basedOn w:val="Titreuser"/>
    <w:next w:val="BodyText"/>
    <w:qFormat/>
    <w:pPr>
      <w:numPr>
        <w:ilvl w:val="3"/>
        <w:numId w:val="2"/>
      </w:numPr>
      <w:spacing w:after="140" w:before="0" w:line="276" w:lineRule="auto"/>
      <w:outlineLvl w:val="3"/>
    </w:pPr>
    <w:rPr>
      <w:rFonts w:ascii="Liberation Serif" w:cs="Arial Unicode MS" w:eastAsia="Songti SC" w:hAnsi="Liberation Serif"/>
      <w:b/>
      <w:bCs/>
      <w:sz w:val="32"/>
      <w:szCs w:val="24"/>
    </w:rPr>
  </w:style>
  <w:style w:styleId="Heading5" w:type="paragraph">
    <w:name w:val="heading 5"/>
    <w:basedOn w:val="Titre"/>
    <w:next w:val="BodyText"/>
    <w:qFormat/>
    <w:pPr>
      <w:numPr>
        <w:ilvl w:val="4"/>
        <w:numId w:val="1"/>
      </w:numPr>
      <w:spacing w:after="60" w:before="120"/>
      <w:outlineLvl w:val="4"/>
    </w:pPr>
    <w:rPr>
      <w:b/>
      <w:bCs/>
      <w:sz w:val="24"/>
      <w:szCs w:val="24"/>
    </w:rPr>
  </w:style>
  <w:style w:styleId="Heading6" w:type="paragraph">
    <w:name w:val="heading 6"/>
    <w:basedOn w:val="Titre"/>
    <w:next w:val="BodyText"/>
    <w:qFormat/>
    <w:pPr>
      <w:numPr>
        <w:ilvl w:val="5"/>
        <w:numId w:val="1"/>
      </w:numPr>
      <w:spacing w:after="60" w:before="60"/>
      <w:outlineLvl w:val="5"/>
    </w:pPr>
    <w:rPr>
      <w:b/>
      <w:bCs/>
      <w:i/>
      <w:iCs/>
      <w:sz w:val="24"/>
      <w:szCs w:val="24"/>
    </w:rPr>
  </w:style>
  <w:style w:styleId="Strong" w:type="character">
    <w:name w:val="Strong"/>
    <w:qFormat/>
    <w:rPr>
      <w:b/>
      <w:bCs/>
    </w:rPr>
  </w:style>
  <w:style w:styleId="Emphasis" w:type="character">
    <w:name w:val="Emphasis"/>
    <w:qFormat/>
    <w:rPr>
      <w:i/>
      <w:iCs/>
    </w:rPr>
  </w:style>
  <w:style w:styleId="Caractresdenumrotationuser" w:type="character">
    <w:name w:val="Caractères de numérotation (user)"/>
    <w:qFormat/>
    <w:rPr/>
  </w:style>
  <w:style w:styleId="Pucesuser" w:type="character">
    <w:name w:val="Puces (user)"/>
    <w:qFormat/>
    <w:rPr>
      <w:rFonts w:ascii="OpenSymbol" w:cs="OpenSymbol" w:eastAsia="OpenSymbol" w:hAnsi="OpenSymbol"/>
    </w:rPr>
  </w:style>
  <w:style w:styleId="Caractresdenumrotation" w:type="character">
    <w:name w:val="Caractères de numérotation"/>
    <w:qFormat/>
    <w:rPr/>
  </w:style>
  <w:style w:styleId="Puces" w:type="character">
    <w:name w:val="Puces"/>
    <w:qFormat/>
    <w:rPr>
      <w:rFonts w:ascii="OpenSymbol" w:cs="OpenSymbol" w:eastAsia="OpenSymbol" w:hAnsi="OpenSymbol"/>
    </w:rPr>
  </w:style>
  <w:style w:styleId="Textesource" w:type="character">
    <w:name w:val="Texte source"/>
    <w:qFormat/>
    <w:rPr>
      <w:rFonts w:ascii="Liberation Mono" w:cs="Liberation Mono" w:eastAsia="Liberation Mono" w:hAnsi="Liberation Mono"/>
    </w:rPr>
  </w:style>
  <w:style w:styleId="Hyperlink" w:type="character">
    <w:name w:val="Hyperlink"/>
    <w:rPr>
      <w:color w:val="000080"/>
      <w:u w:val="single"/>
    </w:rPr>
  </w:style>
  <w:style w:styleId="Sautdindex" w:type="character">
    <w:name w:val="Saut d'index"/>
    <w:qFormat/>
    <w:rPr/>
  </w:style>
  <w:style w:styleId="Sautdindexuser" w:type="character">
    <w:name w:val="Saut d'index (user)"/>
    <w:qFormat/>
    <w:rPr/>
  </w:style>
  <w:style w:styleId="Titre" w:type="paragraph">
    <w:name w:val="Titre"/>
    <w:basedOn w:val="Normal"/>
    <w:next w:val="BodyText"/>
    <w:qFormat/>
    <w:pPr>
      <w:keepNext w:val="true"/>
      <w:spacing w:after="120" w:before="240"/>
    </w:pPr>
    <w:rPr>
      <w:rFonts w:ascii="Liberation Sans" w:cs="Arial Unicode MS" w:eastAsia="Arial Unicode MS" w:hAnsi="Liberation Sans"/>
      <w:sz w:val="28"/>
      <w:szCs w:val="28"/>
    </w:rPr>
  </w:style>
  <w:style w:styleId="BodyText" w:type="paragraph">
    <w:name w:val="Body Text"/>
    <w:basedOn w:val="Normal"/>
    <w:pPr>
      <w:spacing w:after="140" w:before="0" w:line="276" w:lineRule="auto"/>
    </w:pPr>
    <w:rPr/>
  </w:style>
  <w:style w:styleId="List" w:type="paragraph">
    <w:name w:val="List"/>
    <w:basedOn w:val="BodyText"/>
    <w:pPr/>
    <w:rPr>
      <w:rFonts w:cs="Arial Unicode MS"/>
    </w:rPr>
  </w:style>
  <w:style w:styleId="Caption" w:type="paragraph">
    <w:name w:val="caption"/>
    <w:basedOn w:val="Normal"/>
    <w:qFormat/>
    <w:pPr>
      <w:suppressLineNumbers/>
      <w:spacing w:after="120" w:before="120"/>
    </w:pPr>
    <w:rPr>
      <w:rFonts w:cs="Arial Unicode MS"/>
      <w:i/>
      <w:iCs/>
      <w:sz w:val="24"/>
      <w:szCs w:val="24"/>
    </w:rPr>
  </w:style>
  <w:style w:styleId="Index" w:type="paragraph">
    <w:name w:val="Index"/>
    <w:basedOn w:val="Normal"/>
    <w:qFormat/>
    <w:pPr>
      <w:suppressLineNumbers/>
    </w:pPr>
    <w:rPr>
      <w:rFonts w:cs="Arial Unicode MS"/>
    </w:rPr>
  </w:style>
  <w:style w:styleId="Titreuser" w:type="paragraph">
    <w:name w:val="Titre (user)"/>
    <w:basedOn w:val="Normal"/>
    <w:next w:val="BodyText"/>
    <w:qFormat/>
    <w:pPr>
      <w:keepNext w:val="true"/>
      <w:spacing w:after="120" w:before="240"/>
    </w:pPr>
    <w:rPr>
      <w:rFonts w:ascii="Liberation Sans" w:cs="Arial Unicode MS" w:eastAsia="Arial Unicode MS" w:hAnsi="Liberation Sans"/>
      <w:sz w:val="28"/>
      <w:szCs w:val="28"/>
    </w:rPr>
  </w:style>
  <w:style w:styleId="Lignehorizontaleuser" w:type="paragraph">
    <w:name w:val="Ligne horizontale (user)"/>
    <w:basedOn w:val="Normal"/>
    <w:next w:val="BodyText"/>
    <w:qFormat/>
    <w:pPr>
      <w:suppressLineNumbers/>
      <w:pBdr>
        <w:bottom w:color="808080" w:space="0" w:sz="2" w:val="double"/>
      </w:pBdr>
      <w:spacing w:after="283" w:before="0"/>
    </w:pPr>
    <w:rPr>
      <w:sz w:val="12"/>
      <w:szCs w:val="12"/>
    </w:rPr>
  </w:style>
  <w:style w:styleId="Contenudetableauuser" w:type="paragraph">
    <w:name w:val="Contenu de tableau (user)"/>
    <w:basedOn w:val="Normal"/>
    <w:qFormat/>
    <w:pPr>
      <w:widowControl w:val="false"/>
      <w:suppressLineNumbers/>
    </w:pPr>
    <w:rPr/>
  </w:style>
  <w:style w:styleId="Titredetableauuser" w:type="paragraph">
    <w:name w:val="Titre de tableau (user)"/>
    <w:basedOn w:val="Contenudetableauuser"/>
    <w:qFormat/>
    <w:pPr>
      <w:suppressLineNumbers/>
      <w:jc w:val="center"/>
    </w:pPr>
    <w:rPr>
      <w:b/>
      <w:bCs/>
    </w:rPr>
  </w:style>
  <w:style w:styleId="Blocdecitationuser" w:type="paragraph">
    <w:name w:val="Bloc de citation (user)"/>
    <w:basedOn w:val="Normal"/>
    <w:qFormat/>
    <w:pPr>
      <w:spacing w:after="283" w:before="0"/>
      <w:ind w:end="567" w:hanging="0" w:start="567"/>
    </w:pPr>
    <w:rPr/>
  </w:style>
  <w:style w:styleId="Lignehorizontale" w:type="paragraph">
    <w:name w:val="Ligne horizontale"/>
    <w:basedOn w:val="Normal"/>
    <w:next w:val="BodyText"/>
    <w:qFormat/>
    <w:pPr>
      <w:suppressLineNumbers/>
      <w:pBdr>
        <w:bottom w:color="808080" w:space="0" w:sz="2" w:val="double"/>
      </w:pBdr>
      <w:spacing w:after="283" w:before="0"/>
    </w:pPr>
    <w:rPr>
      <w:sz w:val="12"/>
      <w:szCs w:val="12"/>
    </w:rPr>
  </w:style>
  <w:style w:styleId="Blocdecitation" w:type="paragraph">
    <w:name w:val="Bloc de citation"/>
    <w:basedOn w:val="Normal"/>
    <w:qFormat/>
    <w:pPr>
      <w:spacing w:after="283" w:before="0"/>
      <w:ind w:end="567" w:hanging="0" w:start="567"/>
    </w:pPr>
    <w:rPr/>
  </w:style>
  <w:style w:styleId="Contenudetableau" w:type="paragraph">
    <w:name w:val="Contenu de tableau"/>
    <w:basedOn w:val="Normal"/>
    <w:qFormat/>
    <w:pPr>
      <w:widowControl w:val="false"/>
      <w:suppressLineNumbers/>
    </w:pPr>
    <w:rPr/>
  </w:style>
  <w:style w:styleId="Titredetableau" w:type="paragraph">
    <w:name w:val="Titre de tableau"/>
    <w:basedOn w:val="Contenudetableau"/>
    <w:qFormat/>
    <w:pPr>
      <w:suppressLineNumbers/>
      <w:jc w:val="center"/>
    </w:pPr>
    <w:rPr>
      <w:b/>
      <w:bCs/>
    </w:rPr>
  </w:style>
  <w:style w:styleId="Texteprformat" w:type="paragraph">
    <w:name w:val="Texte préformaté"/>
    <w:basedOn w:val="Normal"/>
    <w:qFormat/>
    <w:pPr>
      <w:spacing w:after="0" w:before="0"/>
    </w:pPr>
    <w:rPr>
      <w:rFonts w:ascii="Liberation Mono" w:cs="Liberation Mono" w:eastAsia="Liberation Mono" w:hAnsi="Liberation Mono"/>
      <w:sz w:val="20"/>
      <w:szCs w:val="20"/>
    </w:rPr>
  </w:style>
  <w:style w:styleId="IndexHeading" w:type="paragraph">
    <w:name w:val="index heading"/>
    <w:basedOn w:val="Titre"/>
    <w:pPr>
      <w:suppressLineNumbers/>
      <w:ind w:hanging="0" w:start="0"/>
    </w:pPr>
    <w:rPr>
      <w:b/>
      <w:bCs/>
      <w:sz w:val="32"/>
      <w:szCs w:val="32"/>
    </w:rPr>
  </w:style>
  <w:style w:styleId="TOCHeading" w:type="paragraph">
    <w:name w:val="TOC Heading"/>
    <w:basedOn w:val="IndexHeading"/>
    <w:qFormat/>
    <w:pPr>
      <w:suppressLineNumbers/>
      <w:ind w:hanging="0" w:start="0"/>
    </w:pPr>
    <w:rPr>
      <w:b/>
      <w:bCs/>
      <w:sz w:val="32"/>
      <w:szCs w:val="32"/>
    </w:rPr>
  </w:style>
  <w:style w:styleId="TOC1" w:type="paragraph">
    <w:name w:val="toc 1"/>
    <w:basedOn w:val="Index"/>
    <w:pPr>
      <w:tabs>
        <w:tab w:pos="709" w:val="clear"/>
        <w:tab w:leader="dot" w:pos="9638" w:val="right"/>
      </w:tabs>
      <w:ind w:hanging="0" w:start="0"/>
    </w:pPr>
    <w:rPr/>
  </w:style>
  <w:style w:styleId="TOC2" w:type="paragraph">
    <w:name w:val="toc 2"/>
    <w:basedOn w:val="Index"/>
    <w:pPr>
      <w:tabs>
        <w:tab w:pos="709" w:val="clear"/>
        <w:tab w:leader="dot" w:pos="9355" w:val="right"/>
      </w:tabs>
      <w:ind w:hanging="0" w:start="283"/>
    </w:pPr>
    <w:rPr/>
  </w:style>
  <w:style w:styleId="TOC3" w:type="paragraph">
    <w:name w:val="toc 3"/>
    <w:basedOn w:val="Index"/>
    <w:pPr>
      <w:tabs>
        <w:tab w:pos="709" w:val="clear"/>
        <w:tab w:leader="dot" w:pos="9071" w:val="right"/>
      </w:tabs>
      <w:ind w:hanging="0" w:start="567"/>
    </w:pPr>
    <w:rPr/>
  </w:style>
  <w:style w:styleId="TOC4" w:type="paragraph">
    <w:name w:val="toc 4"/>
    <w:basedOn w:val="Index"/>
    <w:pPr>
      <w:tabs>
        <w:tab w:pos="709" w:val="clear"/>
        <w:tab w:leader="dot" w:pos="8788" w:val="right"/>
      </w:tabs>
      <w:ind w:hanging="0" w:start="850"/>
    </w:pPr>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webSettings" Target="webSettings.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footnotes" Target="footnotes.xml"/><Relationship Id="rId1" Type="http://schemas.openxmlformats.org/officeDocument/2006/relationships/comments" Target="comments.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29883</TotalTime>
  <Application>LibreOffice/26.2.1.2$MacOSX_AARCH64 LibreOffice_project/8399f6259d8c87f40e7255cdb3c9b958f5e08948</Application>
  <AppVersion>15.0000</AppVersion>
  <Pages>100</Pages>
  <Words>53212</Words>
  <Characters>314939</Characters>
  <CharactersWithSpaces>367827</CharactersWithSpaces>
  <Paragraphs>812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2026-04-23T08:33:02Z</dcterms:created>
  <dcterms:modified xsi:type="dcterms:W3CDTF">2026-04-23T08:33:02Z</dcterms:modified>
</cp:coreProperties>
</file>

<file path=docProps/custom.xml><?xml version="1.0" encoding="utf-8"?>
<Properties xmlns="http://schemas.openxmlformats.org/officeDocument/2006/custom-properties" xmlns:vt="http://schemas.openxmlformats.org/officeDocument/2006/docPropsVTypes"/>
</file>