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bidi w:val="0"/>
        <w:spacing w:before="240" w:after="120"/>
        <w:rPr/>
      </w:pPr>
      <w:r>
        <w:rPr/>
        <w:t>Le geste archicratique</w:t>
      </w:r>
    </w:p>
    <w:p>
      <w:pPr>
        <w:pStyle w:val="Subtitle"/>
        <w:bidi w:val="0"/>
        <w:rPr/>
      </w:pPr>
      <w:r>
        <w:rPr/>
        <w:t>Sur la découverte d’un angle mort du politique</w:t>
      </w:r>
    </w:p>
    <w:p>
      <w:pPr>
        <w:pStyle w:val="BodyText"/>
        <w:bidi w:val="0"/>
        <w:jc w:val="start"/>
        <w:rPr/>
      </w:pPr>
      <w:r>
        <w:rPr/>
        <w:t>Pendant longtemps, quelque chose dans la manière dont nous pensons le politique m’a laissé insatisfait. Les sciences politiques disposent d’un vocabulaire extraordinairement riche pour décrire les régimes : monarchie, démocratie, oligarchie, technocratie, ploutocratie, autocratie. À chaque transformation du pouvoir correspond un nouveau terme, comme si la multiplication des catégories pouvait tenir lieu de compréhension.</w:t>
      </w:r>
    </w:p>
    <w:p>
      <w:pPr>
        <w:pStyle w:val="BodyText"/>
        <w:bidi w:val="0"/>
        <w:jc w:val="start"/>
        <w:rPr/>
      </w:pPr>
      <w:r>
        <w:rPr/>
        <w:t>Peu à peu, cette prolifération a cessé de me paraître anodine. Elle révélait plutôt une difficulté plus profonde : nous savons nommer les régimes, mais nous savons beaucoup moins dire ce qui les rend possibles.</w:t>
      </w:r>
    </w:p>
    <w:p>
      <w:pPr>
        <w:pStyle w:val="BodyText"/>
        <w:bidi w:val="0"/>
        <w:jc w:val="start"/>
        <w:rPr/>
      </w:pPr>
      <w:r>
        <w:rPr/>
        <w:t xml:space="preserve">En examinant ce vocabulaire de plus près, j’ai fini par remarquer une confusion presque invisible. Deux familles de notions y coexistent depuis longtemps sans être réellement distinguées. Les termes en </w:t>
      </w:r>
      <w:r>
        <w:rPr>
          <w:rStyle w:val="Emphasis"/>
        </w:rPr>
        <w:t>-archie</w:t>
      </w:r>
      <w:r>
        <w:rPr/>
        <w:t xml:space="preserve"> renvoient à des principes d’organisation : des manières d’ordonner ou de structurer un pouvoir. Les termes en </w:t>
      </w:r>
      <w:r>
        <w:rPr>
          <w:rStyle w:val="Emphasis"/>
        </w:rPr>
        <w:t>-cratie</w:t>
      </w:r>
      <w:r>
        <w:rPr/>
        <w:t xml:space="preserve"> renvoient à des formes d’exercice ou de distribution de ce pouvoir. Pourtant la théorie politique moderne les utilise comme si elles désignaient un seul et même phénomène : le régime.</w:t>
      </w:r>
    </w:p>
    <w:p>
      <w:pPr>
        <w:pStyle w:val="BodyText"/>
        <w:bidi w:val="0"/>
        <w:jc w:val="start"/>
        <w:rPr/>
      </w:pPr>
      <w:r>
        <w:rPr/>
        <w:t xml:space="preserve">Cette assimilation a des conséquences considérables. Elle conduit à traiter les régimes comme l’objet fondamental du politique. Mais à force d’observer les régimes, on finit par oublier la question plus radicale : </w:t>
      </w:r>
      <w:r>
        <w:rPr>
          <w:rStyle w:val="Strong"/>
        </w:rPr>
        <w:t>qu’est-ce qui rend ces régimes possibles ?</w:t>
      </w:r>
    </w:p>
    <w:p>
      <w:pPr>
        <w:pStyle w:val="BodyText"/>
        <w:bidi w:val="0"/>
        <w:jc w:val="start"/>
        <w:rPr/>
      </w:pPr>
      <w:r>
        <w:rPr/>
        <w:t>La réponse ne se trouve pas dans une doctrine, ni dans un principe abstrait. Elle se trouve dans ce que les sociétés produisent concrètement pour organiser leur existence.</w:t>
      </w:r>
    </w:p>
    <w:p>
      <w:pPr>
        <w:pStyle w:val="BodyText"/>
        <w:bidi w:val="0"/>
        <w:jc w:val="start"/>
        <w:rPr/>
      </w:pPr>
      <w:r>
        <w:rPr/>
        <w:t>Les sociétés humaines ne vivent jamais dans la pure abstraction de leurs constitutions ou de leurs idéologies. Elles vivent dans des architectures. Des architectures matérielles — villes, réseaux, infrastructures — mais aussi institutionnelles, juridiques, techniques, informationnelles et symboliques. Ces architectures forment l’espace concret à l’intérieur duquel la vie collective devient possible.</w:t>
      </w:r>
    </w:p>
    <w:p>
      <w:pPr>
        <w:pStyle w:val="BodyText"/>
        <w:bidi w:val="0"/>
        <w:jc w:val="start"/>
        <w:rPr/>
      </w:pPr>
      <w:r>
        <w:rPr/>
        <w:t>En les observant sous cet angle, une évidence s’est imposée à moi : ces architectures ne sont pas de simples supports. Elles configurent les capacités d’action d’une société. Elles ouvrent certaines possibilités, en ferment d’autres, redistribuent les contraintes et stabilisent certaines relations de pouvoir.</w:t>
      </w:r>
    </w:p>
    <w:p>
      <w:pPr>
        <w:pStyle w:val="BodyText"/>
        <w:bidi w:val="0"/>
        <w:jc w:val="start"/>
        <w:rPr/>
      </w:pPr>
      <w:r>
        <w:rPr/>
        <w:t>Autrement dit : elles organisent la puissance d’agir collective.</w:t>
      </w:r>
    </w:p>
    <w:p>
      <w:pPr>
        <w:pStyle w:val="BodyText"/>
        <w:bidi w:val="0"/>
        <w:jc w:val="start"/>
        <w:rPr/>
      </w:pPr>
      <w:r>
        <w:rPr/>
        <w:t>C’est à ce moment précis que le concept d’archicratie s’est imposé.</w:t>
      </w:r>
    </w:p>
    <w:p>
      <w:pPr>
        <w:pStyle w:val="BodyText"/>
        <w:bidi w:val="0"/>
        <w:jc w:val="start"/>
        <w:rPr/>
      </w:pPr>
      <w:r>
        <w:rPr/>
        <w:t xml:space="preserve">Non pas comme un régime supplémentaire dans la longue liste des </w:t>
      </w:r>
      <w:r>
        <w:rPr>
          <w:rStyle w:val="Emphasis"/>
        </w:rPr>
        <w:t>-craties</w:t>
      </w:r>
      <w:r>
        <w:rPr/>
        <w:t>, mais comme le nom d’un niveau du réel politique qui restait largement implicite. L’archicratie désigne l’articulation entre les architectures qu’une société produit et les puissances d’action que ces architectures rendent possibles.</w:t>
      </w:r>
    </w:p>
    <w:p>
      <w:pPr>
        <w:pStyle w:val="BodyText"/>
        <w:bidi w:val="0"/>
        <w:jc w:val="start"/>
        <w:rPr/>
      </w:pPr>
      <w:r>
        <w:rPr/>
        <w:t xml:space="preserve">Le mot lui-même m’est apparu comme une évidence : il unit </w:t>
      </w:r>
      <w:r>
        <w:rPr>
          <w:rStyle w:val="Emphasis"/>
        </w:rPr>
        <w:t>arkhè</w:t>
      </w:r>
      <w:r>
        <w:rPr/>
        <w:t xml:space="preserve">, le principe d’organisation, et </w:t>
      </w:r>
      <w:r>
        <w:rPr>
          <w:rStyle w:val="Emphasis"/>
        </w:rPr>
        <w:t>kratòs</w:t>
      </w:r>
      <w:r>
        <w:rPr/>
        <w:t>, la puissance d’agir. L’archicratie désigne ainsi le point où l’ordre et la puissance cessent d’être pensés séparément : le niveau où les architectures d’une société configurent les capacités d’action qui peuvent s’y déployer.</w:t>
      </w:r>
    </w:p>
    <w:p>
      <w:pPr>
        <w:pStyle w:val="BodyText"/>
        <w:bidi w:val="0"/>
        <w:jc w:val="start"/>
        <w:rPr/>
      </w:pPr>
      <w:r>
        <w:rPr/>
        <w:t>Ce déplacement du regard change profondément la manière d’analyser le politique. Les régimes cessent d’apparaître comme l’origine du pouvoir. Ils deviennent des configurations particulières inscrites dans une architecture sociale plus vaste.</w:t>
      </w:r>
    </w:p>
    <w:p>
      <w:pPr>
        <w:pStyle w:val="BodyText"/>
        <w:bidi w:val="0"/>
        <w:jc w:val="start"/>
        <w:rPr/>
      </w:pPr>
      <w:r>
        <w:rPr/>
        <w:t>Une démocratie, une oligarchie ou une technocratie ne sont pas seulement des formes institutionnelles. Ce sont des formes de pouvoir rendues possibles par certaines architectures sociales : infrastructures matérielles, dispositifs techniques, organisations administratives, systèmes d’information et cadres normatifs qui structurent concrètement la vie collective.</w:t>
      </w:r>
    </w:p>
    <w:p>
      <w:pPr>
        <w:pStyle w:val="BodyText"/>
        <w:bidi w:val="0"/>
        <w:jc w:val="start"/>
        <w:rPr/>
      </w:pPr>
      <w:r>
        <w:rPr/>
        <w:t>Les sciences politiques ont longuement débattu des régimes.</w:t>
      </w:r>
    </w:p>
    <w:p>
      <w:pPr>
        <w:pStyle w:val="BodyText"/>
        <w:bidi w:val="0"/>
        <w:jc w:val="start"/>
        <w:rPr/>
      </w:pPr>
      <w:r>
        <w:rPr/>
        <w:t>Mais les sociétés humaines ne vivent pas sous leurs régimes.</w:t>
      </w:r>
    </w:p>
    <w:p>
      <w:pPr>
        <w:pStyle w:val="BodyText"/>
        <w:bidi w:val="0"/>
        <w:jc w:val="start"/>
        <w:rPr/>
      </w:pPr>
      <w:r>
        <w:rPr>
          <w:rStyle w:val="Strong"/>
          <w:b w:val="false"/>
          <w:bCs w:val="false"/>
        </w:rPr>
        <w:t>Elles vivent dans les architectures qu’elles construisent.</w:t>
      </w:r>
    </w:p>
    <w:p>
      <w:pPr>
        <w:pStyle w:val="BodyText"/>
        <w:bidi w:val="0"/>
        <w:jc w:val="start"/>
        <w:rPr>
          <w:b w:val="false"/>
          <w:bCs w:val="false"/>
        </w:rPr>
      </w:pPr>
      <w:r>
        <w:rPr>
          <w:b w:val="false"/>
          <w:bCs w:val="false"/>
        </w:rPr>
        <w:t>Les régimes ne sont que la surface visible du politique.</w:t>
      </w:r>
    </w:p>
    <w:p>
      <w:pPr>
        <w:pStyle w:val="BodyText"/>
        <w:bidi w:val="0"/>
        <w:jc w:val="start"/>
        <w:rPr/>
      </w:pPr>
      <w:r>
        <w:rPr>
          <w:rStyle w:val="Strong"/>
          <w:b w:val="false"/>
          <w:bCs w:val="false"/>
        </w:rPr>
        <w:t>L’architecture en est la condition. Là où l’arcalité organise et où la cratialité agit, l’archicration advient : c’est dans cette architecture opérante que se déploie la vie politique réelle.</w:t>
      </w:r>
    </w:p>
    <w:p>
      <w:pPr>
        <w:pStyle w:val="BodyText"/>
        <w:bidi w:val="0"/>
        <w:jc w:val="start"/>
        <w:rPr/>
      </w:pPr>
      <w:r>
        <w:rPr/>
        <w:t>Et c’est dans cette architecture — souvent silencieuse, toujours opérante — que se distribuent les puissances d’agir qui orientent l’histoire des sociétés.</w:t>
      </w:r>
    </w:p>
    <w:p>
      <w:pPr>
        <w:pStyle w:val="Heading1"/>
        <w:bidi w:val="0"/>
        <w:spacing w:lineRule="auto" w:line="276" w:before="0" w:after="140"/>
        <w:jc w:val="start"/>
        <w:rPr/>
      </w:pPr>
      <w:r>
        <w:rPr/>
        <w:t>Les trois lois fondamentales de l’archicratie</w:t>
      </w:r>
    </w:p>
    <w:p>
      <w:pPr>
        <w:pStyle w:val="Heading2"/>
        <w:bidi w:val="0"/>
        <w:spacing w:lineRule="auto" w:line="276" w:before="0" w:after="140"/>
        <w:jc w:val="start"/>
        <w:rPr/>
      </w:pPr>
      <w:r>
        <w:rPr/>
        <w:t>1 — Première loi : primauté architecturale</w:t>
      </w:r>
    </w:p>
    <w:p>
      <w:pPr>
        <w:pStyle w:val="BodyText"/>
        <w:bidi w:val="0"/>
        <w:jc w:val="start"/>
        <w:rPr/>
      </w:pPr>
      <w:r>
        <w:rPr>
          <w:rStyle w:val="Strong"/>
        </w:rPr>
        <w:t>Toute forme de pouvoir est conditionnée par l’architecture sociale qui la rend possible.</w:t>
      </w:r>
    </w:p>
    <w:p>
      <w:pPr>
        <w:pStyle w:val="BodyText"/>
        <w:bidi w:val="0"/>
        <w:jc w:val="start"/>
        <w:rPr/>
      </w:pPr>
      <w:r>
        <w:rPr/>
        <w:t>Les régimes politiques ne surgissent jamais dans l’abstraction. Ils émergent à l’intérieur d’un ensemble de structures matérielles, institutionnelles, techniques et symboliques qui organisent l’espace des possibles.</w:t>
      </w:r>
    </w:p>
    <w:p>
      <w:pPr>
        <w:pStyle w:val="BodyText"/>
        <w:bidi w:val="0"/>
        <w:jc w:val="start"/>
        <w:rPr/>
      </w:pPr>
      <w:r>
        <w:rPr/>
        <w:t>Une démocratie, une oligarchie ou une technocratie ne sont donc pas seulement des choix politiques : ce sont des configurations rendues possibles par certaines architectures sociales.</w:t>
      </w:r>
    </w:p>
    <w:p>
      <w:pPr>
        <w:pStyle w:val="BodyText"/>
        <w:bidi w:val="0"/>
        <w:jc w:val="start"/>
        <w:rPr/>
      </w:pPr>
      <w:r>
        <w:rPr/>
        <w:t>Autrement dit :</w:t>
        <w:br/>
      </w:r>
      <w:r>
        <w:rPr>
          <w:rStyle w:val="Strong"/>
        </w:rPr>
        <w:t>les régimes sont des effets ; l’architecture est la condition.</w:t>
      </w:r>
    </w:p>
    <w:p>
      <w:pPr>
        <w:pStyle w:val="Lignehorizontale"/>
        <w:bidi w:val="0"/>
        <w:spacing w:lineRule="auto" w:line="276" w:before="0" w:after="140"/>
        <w:jc w:val="start"/>
        <w:rPr/>
      </w:pPr>
      <w:r>
        <w:rPr/>
      </w:r>
    </w:p>
    <w:p>
      <w:pPr>
        <w:pStyle w:val="Heading2"/>
        <w:bidi w:val="0"/>
        <w:spacing w:lineRule="auto" w:line="276" w:before="0" w:after="140"/>
        <w:jc w:val="start"/>
        <w:rPr/>
      </w:pPr>
      <w:r>
        <w:rPr/>
        <w:t>2 — Deuxième loi : distribution architecturale des puissances d’agir</w:t>
      </w:r>
    </w:p>
    <w:p>
      <w:pPr>
        <w:pStyle w:val="BodyText"/>
        <w:bidi w:val="0"/>
        <w:jc w:val="start"/>
        <w:rPr/>
      </w:pPr>
      <w:r>
        <w:rPr>
          <w:rStyle w:val="Strong"/>
        </w:rPr>
        <w:t>Toute architecture sociale distribue des capacités d’action.</w:t>
      </w:r>
    </w:p>
    <w:p>
      <w:pPr>
        <w:pStyle w:val="BodyText"/>
        <w:bidi w:val="0"/>
        <w:jc w:val="start"/>
        <w:rPr/>
      </w:pPr>
      <w:r>
        <w:rPr/>
        <w:t>Une architecture n’est jamais neutre. Elle ouvre certaines possibilités et en ferme d’autres. Elle stabilise certaines relations de pouvoir et en rend d’autres impraticables.</w:t>
      </w:r>
    </w:p>
    <w:p>
      <w:pPr>
        <w:pStyle w:val="BodyText"/>
        <w:bidi w:val="0"/>
        <w:jc w:val="start"/>
        <w:rPr/>
      </w:pPr>
      <w:r>
        <w:rPr/>
        <w:t>Les infrastructures, les institutions, les systèmes techniques ou informationnels ne sont donc pas de simples supports de l’action politique : ils configurent les formes d’action qui deviennent possibles pour les individus et les collectifs.</w:t>
      </w:r>
    </w:p>
    <w:p>
      <w:pPr>
        <w:pStyle w:val="BodyText"/>
        <w:bidi w:val="0"/>
        <w:jc w:val="start"/>
        <w:rPr/>
      </w:pPr>
      <w:r>
        <w:rPr/>
        <w:t>Autrement dit :</w:t>
        <w:br/>
      </w:r>
      <w:r>
        <w:rPr>
          <w:rStyle w:val="Strong"/>
        </w:rPr>
        <w:t>l’architecture organise la puissance d’agir.</w:t>
      </w:r>
    </w:p>
    <w:p>
      <w:pPr>
        <w:pStyle w:val="Lignehorizontale"/>
        <w:bidi w:val="0"/>
        <w:spacing w:lineRule="auto" w:line="276" w:before="0" w:after="140"/>
        <w:jc w:val="start"/>
        <w:rPr/>
      </w:pPr>
      <w:r>
        <w:rPr/>
      </w:r>
    </w:p>
    <w:p>
      <w:pPr>
        <w:pStyle w:val="Heading2"/>
        <w:bidi w:val="0"/>
        <w:spacing w:lineRule="auto" w:line="276" w:before="0" w:after="140"/>
        <w:jc w:val="start"/>
        <w:rPr/>
      </w:pPr>
      <w:r>
        <w:rPr/>
        <w:t>3 — Troisième loi : dynamique archicratique</w:t>
      </w:r>
    </w:p>
    <w:p>
      <w:pPr>
        <w:pStyle w:val="BodyText"/>
        <w:bidi w:val="0"/>
        <w:jc w:val="start"/>
        <w:rPr/>
      </w:pPr>
      <w:r>
        <w:rPr>
          <w:rStyle w:val="Strong"/>
        </w:rPr>
        <w:t>Les transformations politiques suivent les transformations des architectures sociales.</w:t>
      </w:r>
    </w:p>
    <w:p>
      <w:pPr>
        <w:pStyle w:val="BodyText"/>
        <w:bidi w:val="0"/>
        <w:jc w:val="start"/>
        <w:rPr/>
      </w:pPr>
      <w:r>
        <w:rPr/>
        <w:t>Lorsque les architectures se transforment — par exemple avec l’apparition de nouvelles infrastructures techniques, informationnelles ou énergétiques — les formes du pouvoir finissent inévitablement par se reconfigurer.</w:t>
      </w:r>
    </w:p>
    <w:p>
      <w:pPr>
        <w:pStyle w:val="BodyText"/>
        <w:bidi w:val="0"/>
        <w:jc w:val="start"/>
        <w:rPr/>
      </w:pPr>
      <w:r>
        <w:rPr/>
        <w:t>Les révolutions industrielles, les transformations logistiques ou les architectures numériques contemporaines ne modifient pas seulement l’économie : elles reconfigurent les conditions mêmes de la vie politique.</w:t>
      </w:r>
    </w:p>
    <w:p>
      <w:pPr>
        <w:pStyle w:val="BodyText"/>
        <w:bidi w:val="0"/>
        <w:jc w:val="start"/>
        <w:rPr/>
      </w:pPr>
      <w:r>
        <w:rPr/>
        <w:t>Autrement dit :</w:t>
        <w:br/>
      </w:r>
      <w:r>
        <w:rPr>
          <w:rStyle w:val="Strong"/>
        </w:rPr>
        <w:t>l’évolution des architectures entraîne l’évolution des régimes.</w:t>
      </w:r>
    </w:p>
    <w:p>
      <w:pPr>
        <w:pStyle w:val="Heading1"/>
        <w:bidi w:val="0"/>
        <w:spacing w:lineRule="auto" w:line="276" w:before="0" w:after="140"/>
        <w:jc w:val="start"/>
        <w:rPr/>
      </w:pPr>
      <w:r>
        <w:rPr/>
        <w:t>Résumé du paradigme archicratique</w:t>
      </w:r>
    </w:p>
    <w:p>
      <w:pPr>
        <w:pStyle w:val="BodyText"/>
        <w:bidi w:val="0"/>
        <w:jc w:val="start"/>
        <w:rPr/>
      </w:pPr>
      <w:r>
        <w:rPr/>
        <w:t>Le paradigme peut alors se résumer en trois niveaux :</w:t>
      </w:r>
    </w:p>
    <w:p>
      <w:pPr>
        <w:pStyle w:val="Heading3"/>
        <w:bidi w:val="0"/>
        <w:spacing w:lineRule="auto" w:line="276" w:before="0" w:after="140"/>
        <w:jc w:val="start"/>
        <w:rPr/>
      </w:pPr>
      <w:r>
        <w:rPr/>
        <w:t>Phrase canonique</w:t>
      </w:r>
    </w:p>
    <w:p>
      <w:pPr>
        <w:pStyle w:val="BodyText"/>
        <w:bidi w:val="0"/>
        <w:jc w:val="start"/>
        <w:rPr/>
      </w:pPr>
      <w:r>
        <w:rPr>
          <w:rStyle w:val="Strong"/>
        </w:rPr>
        <w:t>Les régimes sont la surface visible du politique ; l’architecture en est la condition.</w:t>
      </w:r>
    </w:p>
    <w:p>
      <w:pPr>
        <w:pStyle w:val="Heading3"/>
        <w:bidi w:val="0"/>
        <w:spacing w:lineRule="auto" w:line="276" w:before="0" w:after="140"/>
        <w:jc w:val="start"/>
        <w:rPr/>
      </w:pPr>
      <w:r>
        <w:rPr/>
        <w:t>Triade conceptuelle</w:t>
      </w:r>
    </w:p>
    <w:p>
      <w:pPr>
        <w:pStyle w:val="BodyText"/>
        <w:numPr>
          <w:ilvl w:val="0"/>
          <w:numId w:val="2"/>
        </w:numPr>
        <w:tabs>
          <w:tab w:val="clear" w:pos="709"/>
          <w:tab w:val="left" w:pos="709" w:leader="none"/>
        </w:tabs>
        <w:bidi w:val="0"/>
        <w:ind w:hanging="283" w:start="709"/>
        <w:jc w:val="start"/>
        <w:rPr/>
      </w:pPr>
      <w:r>
        <w:rPr>
          <w:rStyle w:val="Strong"/>
        </w:rPr>
        <w:t>arcalité</w:t>
      </w:r>
      <w:r>
        <w:rPr/>
        <w:t xml:space="preserve"> — principe d’organisation</w:t>
      </w:r>
    </w:p>
    <w:p>
      <w:pPr>
        <w:pStyle w:val="BodyText"/>
        <w:numPr>
          <w:ilvl w:val="0"/>
          <w:numId w:val="2"/>
        </w:numPr>
        <w:tabs>
          <w:tab w:val="clear" w:pos="709"/>
          <w:tab w:val="left" w:pos="709" w:leader="none"/>
        </w:tabs>
        <w:bidi w:val="0"/>
        <w:ind w:hanging="283" w:start="709"/>
        <w:jc w:val="start"/>
        <w:rPr/>
      </w:pPr>
      <w:r>
        <w:rPr>
          <w:rStyle w:val="Strong"/>
        </w:rPr>
        <w:t>cratialité</w:t>
      </w:r>
      <w:r>
        <w:rPr/>
        <w:t xml:space="preserve"> — puissance d’agir</w:t>
      </w:r>
    </w:p>
    <w:p>
      <w:pPr>
        <w:pStyle w:val="BodyText"/>
        <w:numPr>
          <w:ilvl w:val="0"/>
          <w:numId w:val="2"/>
        </w:numPr>
        <w:tabs>
          <w:tab w:val="clear" w:pos="709"/>
          <w:tab w:val="left" w:pos="709" w:leader="none"/>
        </w:tabs>
        <w:bidi w:val="0"/>
        <w:ind w:hanging="283" w:start="709"/>
        <w:jc w:val="start"/>
        <w:rPr/>
      </w:pPr>
      <w:r>
        <w:rPr>
          <w:rStyle w:val="Strong"/>
        </w:rPr>
        <w:t>archicration</w:t>
      </w:r>
      <w:r>
        <w:rPr/>
        <w:t xml:space="preserve"> — architecture opérante où les deux se rencontrent</w:t>
      </w:r>
    </w:p>
    <w:p>
      <w:pPr>
        <w:pStyle w:val="Heading3"/>
        <w:bidi w:val="0"/>
        <w:spacing w:lineRule="auto" w:line="276" w:before="0" w:after="140"/>
        <w:jc w:val="start"/>
        <w:rPr/>
      </w:pPr>
      <w:r>
        <w:rPr/>
        <w:t>Trois lois</w:t>
      </w:r>
    </w:p>
    <w:p>
      <w:pPr>
        <w:pStyle w:val="BodyText"/>
        <w:numPr>
          <w:ilvl w:val="0"/>
          <w:numId w:val="3"/>
        </w:numPr>
        <w:tabs>
          <w:tab w:val="clear" w:pos="709"/>
          <w:tab w:val="left" w:pos="709" w:leader="none"/>
        </w:tabs>
        <w:bidi w:val="0"/>
        <w:ind w:hanging="283" w:start="709"/>
        <w:jc w:val="start"/>
        <w:rPr/>
      </w:pPr>
      <w:r>
        <w:rPr/>
        <w:t>primauté architecturale</w:t>
      </w:r>
    </w:p>
    <w:p>
      <w:pPr>
        <w:pStyle w:val="BodyText"/>
        <w:numPr>
          <w:ilvl w:val="0"/>
          <w:numId w:val="3"/>
        </w:numPr>
        <w:tabs>
          <w:tab w:val="clear" w:pos="709"/>
          <w:tab w:val="left" w:pos="709" w:leader="none"/>
        </w:tabs>
        <w:bidi w:val="0"/>
        <w:ind w:hanging="283" w:start="709"/>
        <w:jc w:val="start"/>
        <w:rPr/>
      </w:pPr>
      <w:r>
        <w:rPr/>
        <w:t>distribution des puissances d’agir</w:t>
      </w:r>
    </w:p>
    <w:p>
      <w:pPr>
        <w:pStyle w:val="BodyText"/>
        <w:numPr>
          <w:ilvl w:val="0"/>
          <w:numId w:val="3"/>
        </w:numPr>
        <w:tabs>
          <w:tab w:val="clear" w:pos="709"/>
          <w:tab w:val="left" w:pos="709" w:leader="none"/>
        </w:tabs>
        <w:bidi w:val="0"/>
        <w:ind w:hanging="283" w:start="709"/>
        <w:jc w:val="start"/>
        <w:rPr/>
      </w:pPr>
      <w:r>
        <w:rPr/>
        <w:t>dynamique archicratique</w:t>
      </w:r>
    </w:p>
    <w:p>
      <w:pPr>
        <w:pStyle w:val="Heading1"/>
        <w:bidi w:val="0"/>
        <w:spacing w:lineRule="auto" w:line="276" w:before="0" w:after="140"/>
        <w:jc w:val="start"/>
        <w:rPr/>
      </w:pPr>
      <w:r>
        <w:rPr/>
        <w:t>Diagnostic archicratique de notre époque</w:t>
      </w:r>
    </w:p>
    <w:p>
      <w:pPr>
        <w:pStyle w:val="BodyText"/>
        <w:bidi w:val="0"/>
        <w:jc w:val="start"/>
        <w:rPr/>
      </w:pPr>
      <w:r>
        <w:rPr/>
        <w:t>Si l’on adopte le point de vue archicratique, la transformation politique majeure de notre époque n’apparaît pas d’abord dans les régimes visibles — démocraties, autocraties, technocraties — mais dans les architectures qui rendent ces régimes possibles.</w:t>
      </w:r>
    </w:p>
    <w:p>
      <w:pPr>
        <w:pStyle w:val="BodyText"/>
        <w:bidi w:val="0"/>
        <w:jc w:val="start"/>
        <w:rPr/>
      </w:pPr>
      <w:r>
        <w:rPr/>
        <w:t>Les sociétés contemporaines reposent sur des infrastructures d’une complexité et d’une échelle inédites : réseaux énergétiques planétaires, systèmes logistiques mondiaux, infrastructures numériques, architectures de données, plateformes de coordination, systèmes de calcul automatisés. Ces dispositifs organisent la circulation des flux matériels et informationnels dont dépend désormais la vie collective. Ils structurent les conditions concrètes dans lesquelles les sociétés produisent, échangent, communiquent et prennent des décisions.</w:t>
      </w:r>
    </w:p>
    <w:p>
      <w:pPr>
        <w:pStyle w:val="BodyText"/>
        <w:bidi w:val="0"/>
        <w:jc w:val="start"/>
        <w:rPr/>
      </w:pPr>
      <w:r>
        <w:rPr/>
        <w:t>Ces architectures matérielles et techniques s’accompagnent d’une seconde couche tout aussi décisive : une prolifération d’architectures scripturo-normatives. Les sociétés contemporaines fonctionnent à travers une multiplication de textes opérants : normes juridiques, standards techniques, protocoles informatiques, lignes de code, procédures administratives, dispositifs de calcul et d’évaluation. Une part croissante de la régulation collective se trouve ainsi inscrite dans des systèmes d’écriture qui organisent concrètement les comportements et les interactions.</w:t>
      </w:r>
    </w:p>
    <w:p>
      <w:pPr>
        <w:pStyle w:val="BodyText"/>
        <w:bidi w:val="0"/>
        <w:jc w:val="start"/>
        <w:rPr/>
      </w:pPr>
      <w:r>
        <w:rPr/>
        <w:t xml:space="preserve">L’époque contemporaine est donc caractérisée par l’émergence d’une </w:t>
      </w:r>
      <w:r>
        <w:rPr>
          <w:rStyle w:val="Strong"/>
        </w:rPr>
        <w:t>archicration techno-logistique et scripturo-normative</w:t>
      </w:r>
      <w:r>
        <w:rPr/>
        <w:t>. Les infrastructures organisent les flux ; les scripts normatifs organisent les règles ; leur combinaison configure les capacités d’action des individus, des organisations et des États.</w:t>
      </w:r>
    </w:p>
    <w:p>
      <w:pPr>
        <w:pStyle w:val="BodyText"/>
        <w:bidi w:val="0"/>
        <w:jc w:val="start"/>
        <w:rPr/>
      </w:pPr>
      <w:r>
        <w:rPr/>
        <w:t>Dans ce contexte, les régimes politiques continuent d’exister, mais ils apparaissent de plus en plus comme des expressions de surface d’une architecture plus profonde. Les débats publics portent sur les formes visibles du pouvoir — élections, gouvernements, institutions — tandis que les architectures qui organisent effectivement les conditions de l’action collective restent souvent en arrière-plan.</w:t>
      </w:r>
    </w:p>
    <w:p>
      <w:pPr>
        <w:pStyle w:val="BodyText"/>
        <w:bidi w:val="0"/>
        <w:jc w:val="start"/>
        <w:rPr/>
      </w:pPr>
      <w:r>
        <w:rPr/>
        <w:t xml:space="preserve">C’est dans cette transformation architecturale que se joue aujourd’hui une dynamique plus inquiétante : celle d’une </w:t>
      </w:r>
      <w:r>
        <w:rPr>
          <w:rStyle w:val="Strong"/>
        </w:rPr>
        <w:t>tendance à l’autarchicratie</w:t>
      </w:r>
      <w:r>
        <w:rPr/>
        <w:t>.</w:t>
      </w:r>
    </w:p>
    <w:p>
      <w:pPr>
        <w:pStyle w:val="BodyText"/>
        <w:bidi w:val="0"/>
        <w:jc w:val="start"/>
        <w:rPr/>
      </w:pPr>
      <w:r>
        <w:rPr/>
        <w:t>Par ce terme, il faut entendre une évolution dans laquelle les architectures qui organisent la vie collective acquièrent un degré croissant d’autonomie. Les infrastructures techniques, les dispositifs logistiques, les architectures numériques et les systèmes normatifs tendent à fonctionner comme des systèmes auto-opérants, capables de reproduire et d’étendre leurs propres logiques de fonctionnement.</w:t>
      </w:r>
    </w:p>
    <w:p>
      <w:pPr>
        <w:pStyle w:val="BodyText"/>
        <w:bidi w:val="0"/>
        <w:jc w:val="start"/>
        <w:rPr/>
      </w:pPr>
      <w:r>
        <w:rPr/>
        <w:t>Les sociétés continuent de croire qu’elles gouvernent leurs institutions. Mais dans de nombreux domaines, ce sont désormais les architectures elles-mêmes qui organisent les conditions dans lesquelles les décisions deviennent possibles.</w:t>
      </w:r>
    </w:p>
    <w:p>
      <w:pPr>
        <w:pStyle w:val="BodyText"/>
        <w:bidi w:val="0"/>
        <w:jc w:val="start"/>
        <w:rPr/>
      </w:pPr>
      <w:r>
        <w:rPr/>
        <w:t>L’autarchicratie ne signifie pas nécessairement la disparition des régimes politiques. Elle désigne plutôt une transformation plus subtile : le déplacement progressif du centre de gravité du pouvoir vers les architectures qui structurent la vie collective.</w:t>
      </w:r>
    </w:p>
    <w:p>
      <w:pPr>
        <w:pStyle w:val="BodyText"/>
        <w:bidi w:val="0"/>
        <w:jc w:val="start"/>
        <w:rPr/>
      </w:pPr>
      <w:r>
        <w:rPr/>
        <w:t>Dans cette perspective, les conflits politiques contemporains apparaissent sous un jour nouveau. Ils ne portent plus seulement sur la conquête ou l’exercice du pouvoir institutionnel, mais de plus en plus sur la conception, la maîtrise et l’orientation des architectures qui organisent les sociétés.</w:t>
      </w:r>
    </w:p>
    <w:p>
      <w:pPr>
        <w:pStyle w:val="BodyText"/>
        <w:bidi w:val="0"/>
        <w:jc w:val="start"/>
        <w:rPr/>
      </w:pPr>
      <w:r>
        <w:rPr/>
        <w:t>Le véritable enjeu politique de notre époque pourrait ainsi se formuler de la manière suivante :</w:t>
        <w:br/>
      </w:r>
      <w:r>
        <w:rPr>
          <w:rStyle w:val="Strong"/>
        </w:rPr>
        <w:t>qui conçoit, qui contrôle et dans quel but les architectures à l’intérieur desquelles les sociétés doivent vivre ?</w:t>
      </w:r>
    </w:p>
    <w:p>
      <w:pPr>
        <w:pStyle w:val="BodyText"/>
        <w:bidi w:val="0"/>
        <w:jc w:val="start"/>
        <w:rPr/>
      </w:pPr>
      <w:r>
        <w:rPr/>
        <w:t>Car si les sociétés humaines vivent dans les architectures qu’elles produisent, alors l’avenir politique dépend avant tout de la manière dont ces architectures seront conçues, régulées et transformées.</w:t>
      </w:r>
    </w:p>
    <w:p>
      <w:pPr>
        <w:pStyle w:val="BodyText"/>
        <w:bidi w:val="0"/>
        <w:jc w:val="start"/>
        <w:rPr/>
      </w:pPr>
      <w:r>
        <w:rPr/>
        <w:t>C’est à ce niveau que se joue aujourd’hui, souvent silencieusement, la dynamique archicratique de notre temps.</w:t>
      </w:r>
    </w:p>
    <w:p>
      <w:pPr>
        <w:pStyle w:val="BodyText"/>
        <w:bidi w:val="0"/>
        <w:spacing w:before="0" w:after="140"/>
        <w:jc w:val="start"/>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2"/>
    <w:family w:val="auto"/>
    <w:pitch w:val="default"/>
  </w:font>
  <w:font w:name="Liberation Sans">
    <w:altName w:val="Arial"/>
    <w:charset w:val="01" w:characterSet="utf-8"/>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
      <w:lvlJc w:val="start"/>
      <w:pPr>
        <w:tabs>
          <w:tab w:val="num" w:pos="0"/>
        </w:tabs>
        <w:ind w:start="0" w:hanging="0"/>
      </w:pPr>
    </w:lvl>
    <w:lvl w:ilvl="1">
      <w:start w:val="1"/>
      <w:numFmt w:val="none"/>
      <w:pStyle w:val="Heading2"/>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spacing w:before="240" w:after="120"/>
      <w:outlineLvl w:val="0"/>
    </w:pPr>
    <w:rPr>
      <w:rFonts w:ascii="Liberation Serif" w:hAnsi="Liberation Serif" w:eastAsia="Songti SC" w:cs="Arial Unicode MS"/>
      <w:b/>
      <w:bCs/>
      <w:sz w:val="48"/>
      <w:szCs w:val="48"/>
    </w:rPr>
  </w:style>
  <w:style w:type="paragraph" w:styleId="Heading2">
    <w:name w:val="heading 2"/>
    <w:basedOn w:val="Titre"/>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spacing w:before="140" w:after="120"/>
      <w:outlineLvl w:val="2"/>
    </w:pPr>
    <w:rPr>
      <w:rFonts w:ascii="Liberation Serif" w:hAnsi="Liberation Serif" w:eastAsia="Songti SC" w:cs="Arial Unicode MS"/>
      <w:b/>
      <w:bCs/>
      <w:sz w:val="28"/>
      <w:szCs w:val="28"/>
    </w:rPr>
  </w:style>
  <w:style w:type="character" w:styleId="Emphasis">
    <w:name w:val="Emphasis"/>
    <w:qFormat/>
    <w:rPr>
      <w:i/>
      <w:iCs/>
    </w:rPr>
  </w:style>
  <w:style w:type="character" w:styleId="Strong">
    <w:name w:val="Strong"/>
    <w:qFormat/>
    <w:rPr>
      <w:b/>
      <w:bCs/>
    </w:rPr>
  </w:style>
  <w:style w:type="character" w:styleId="Puces">
    <w:name w:val="Puces"/>
    <w:qFormat/>
    <w:rPr>
      <w:rFonts w:ascii="OpenSymbol" w:hAnsi="OpenSymbol" w:eastAsia="OpenSymbol" w:cs="OpenSymbol"/>
    </w:rPr>
  </w:style>
  <w:style w:type="character" w:styleId="Caractresdenumrotation">
    <w:name w:val="Caractères de numérotation"/>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Titre"/>
    <w:next w:val="BodyText"/>
    <w:qFormat/>
    <w:pPr>
      <w:jc w:val="center"/>
    </w:pPr>
    <w:rPr>
      <w:b/>
      <w:bCs/>
      <w:sz w:val="56"/>
      <w:szCs w:val="56"/>
    </w:rPr>
  </w:style>
  <w:style w:type="paragraph" w:styleId="Subtitle">
    <w:name w:val="Subtitle"/>
    <w:basedOn w:val="Titre"/>
    <w:next w:val="BodyText"/>
    <w:qFormat/>
    <w:pPr>
      <w:spacing w:before="60" w:after="120"/>
      <w:jc w:val="center"/>
    </w:pPr>
    <w:rPr>
      <w:sz w:val="36"/>
      <w:szCs w:val="36"/>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80</TotalTime>
  <Application>LibreOffice/25.8.4.2$MacOSX_AARCH64 LibreOffice_project/290daaa01b999472f0c7a3890eb6a550fd74c6df</Application>
  <AppVersion>15.0000</AppVersion>
  <Pages>5</Pages>
  <Words>1440</Words>
  <Characters>9202</Characters>
  <CharactersWithSpaces>10589</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2026-03-09T17:53:50Z</dcterms:created>
  <dc:creator/>
  <dc:description/>
  <dc:language>fr-FR</dc:language>
  <cp:lastModifiedBy/>
  <dcterms:modified xsi:type="dcterms:W3CDTF">2026-03-09T20:38:33Z</dcterms:modified>
  <cp:revision>5</cp:revision>
  <dc:subject/>
  <dc:title/>
</cp:coreProperties>
</file>