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3 — Philosophies du pouvoir et archicration</w:t>
      </w:r>
    </w:p>
    <w:p>
      <w:pPr>
        <w:pStyle w:val="BodyText"/>
        <w:rPr/>
      </w:pPr>
      <w:r>
        <w:rPr/>
        <w:t>Ce chapitre se tient à un point nodal de notre essai-thèse : il ouvre une exploration systématique des formes conceptuelles et philosophiques à travers lesquelles le pouvoir se configure comme régime de régulation. Il ne s’agit ni de revenir sur les seuls fondements de l’autorité, ni d’interroger la légitimité politique au sens classique, ni de proposer une histoire des idées : l’ambition est structurelle, transversale et morphologique. Il s’agit d’arpenter, à même les dispositifs, les pensées, les théorisations et les expériences, les modalités différenciées par lesquelles s’instaurent, s’éprouvent et se disputent les formes de régulation du vivre-ensemble.</w:t>
      </w:r>
    </w:p>
    <w:p>
      <w:pPr>
        <w:pStyle w:val="BodyText"/>
        <w:rPr/>
      </w:pPr>
      <w:r>
        <w:rPr/>
        <w:t>Dès lors, ce chapitre ne postule aucun fondement, ne cherche aucun point d’origine et ne prétend restituer aucune ontologie stable du politique. Il propose une cartographie dynamique des régimes de régulation, traversée par des formes irréductibles, non homogènes, souvent conflictuelles, parfois incompatibles, mais toujours pensées comme des configurations singulières. La régulation n’y est pas conçue comme stabilisation externe ou simple ajustement technico-fonctionnel : elle est la forme constitutive du pouvoir lui-même, ce par quoi il s’institue, se justifie, se dispute et se recompose.</w:t>
      </w:r>
    </w:p>
    <w:p>
      <w:pPr>
        <w:pStyle w:val="BodyText"/>
        <w:rPr/>
      </w:pPr>
      <w:r>
        <w:rPr/>
        <w:t>Une telle démarche impose de rompre avec toute conception unitaire ou linéaire du politique. Le pouvoir doit être saisi comme toujours déjà articulé, scénarisé et différencié en formats opératoires de régulation. Le cœur de l’enquête est donc de mettre à l’épreuve, à travers la diversité des régimes, l’hypothèse selon laquelle une scène de régulation ne devient viable — c’est-à-dire habitable, traversable, légitime et transformable — qu’à la condition d’articuler les tensions internes que nous avons identifiées par les termes arcalité, cratialité et archicration. Là où ce qui fonde, ce qui opère et ce qui met à l’épreuve cessent d’être distinguables dans leur articulation, la régulation ne disparaît pas : elle se dérègle dans sa tenue même.</w:t>
      </w:r>
    </w:p>
    <w:p>
      <w:pPr>
        <w:pStyle w:val="BodyText"/>
        <w:rPr/>
      </w:pPr>
      <w:r>
        <w:rPr/>
        <w:t>C’est en ce sens que la topologie proposée ici s’inscrit dans une perspective archicratique : non parce qu’elle appliquerait à la diversité des régimes un modèle déjà constitué, mais parce qu’elle cherche à éprouver, au contact de cette diversité même, la pertinence d’une lecture attentive à l’articulation entre arcalité, cratialité et archicration. Ce geste méthodologique est rendu nécessaire par l’éclatement contemporain des cadres normatifs, des repères institutionnels et des formes de légitimation. Dans un monde où les fondements se fragmentent, où les autorités se déplacent et où les processus de subjectivation se recomposent sous l’effet de mutations techniques, sociales et symboliques, le pouvoir n’apparaît plus comme un principe stable à restaurer, mais comme un ensemble de configurations instables à rendre lisibles dans leur matérialité régulatrice.</w:t>
      </w:r>
    </w:p>
    <w:p>
      <w:pPr>
        <w:pStyle w:val="BodyText"/>
        <w:rPr/>
      </w:pPr>
      <w:r>
        <w:rPr/>
        <w:t>Tel est le sol à partir duquel l’archicratie formule son hypothèse. Elle propose une structure interprétative destinée à éprouver la viabilité régulatrice des régimes, en examinant, pour chacun d’eux, si et jusqu’à quel point une lecture en termes d’arcalité, de cratialité et d’archicration permet de rendre sa logique régulatrice plus intelligible que ne le feraient ses seules proclamations. Le chapitre adopte ainsi une lecture différentielle, transversale et falsifiable des grandes philosophies du pouvoir selon six questions directrices : quelle configuration de l’arcalité un auteur rend-il pensable ? quelle conception de la cratialité mobilise-t-il ? quel mode d’archicration, explicite ou implicite, se dégage de son œuvre ? comment la tension entre ces trois pôles est-elle pensée, neutralisée, déplacée ou cultivée ? quel degré de co-viabilité cette philosophie autorise-t-elle ? et dans quel champ de pertinence sa régulation devient-elle opératoire ?</w:t>
      </w:r>
    </w:p>
    <w:p>
      <w:pPr>
        <w:pStyle w:val="BodyText"/>
        <w:rPr/>
      </w:pPr>
      <w:r>
        <w:rPr/>
        <w:t>La traversée s’ouvrira par les régimes fondateurs modernes de l’ordre, avant d’examiner les formes diffuses, incorporées, subjectives, dialogiques, bureaucratiques, polémiques et technico-machiniques du pouvoir. Il s’agira, à chaque fois, d’interroger moins l’origine de l’autorité que les conditions de viabilité de l’ordonnancement dans la tension. Ainsi se dessine le fil rouge du chapitre : non pas établir un modèle normatif du bon régime, ni classer hiérarchiquement les formes de gouvernement, mais demander à quelles conditions un régime régulateur permet à une société de se disputer, de se reconnaître et de se transformer sans effacer sa propre scène d’instauration. C’est pourquoi le chapitre 3 cartographie des régimes de régulation : il interroge non les justifications du pouvoir, mais les conditions de sa co-viabilité.</w:t>
      </w:r>
    </w:p>
    <w:p>
      <w:pPr>
        <w:pStyle w:val="BodyText"/>
        <w:rPr/>
      </w:pPr>
      <w:r>
        <w:rPr/>
        <w:t>L’enjeu n’est donc pas de substituer la grammaire archicratique aux grandes traditions du pouvoir, mais d’expliciter ce qu’elle cherche à rendre simultanément visible. Là où certaines approches privilégient le principe de légitimation, d’autres les dispositifs d’effectuation, d’autres encore la conflictualité, la délibération ou les formes de justification, le paradigme proposé ici interroge leur co-tenue : comment ce qui fonde, ce qui opère et ce qui met à l’épreuve se soutiennent-ils ensemble, se désajustent-ils, ou se neutralisent-ils réciproquement ?</w:t>
      </w:r>
    </w:p>
    <w:p>
      <w:pPr>
        <w:pStyle w:val="BodyText"/>
        <w:rPr/>
      </w:pPr>
      <w:r>
        <w:rPr/>
        <w:t>En ce sens, l’archicratie n’a pas vocation à invalider ces traditions, mais à proposer une grammaire transversale de leur articulation partielle.</w:t>
      </w:r>
    </w:p>
    <w:p>
      <w:pPr>
        <w:pStyle w:val="BodyText"/>
        <w:rPr/>
      </w:pPr>
      <w:r>
        <w:rPr/>
        <w:t>Cette grammaire ne vaut toutefois qu’à condition d’accepter d’être elle-même déplacée par les textes qu’elle lit : partout où la triade n’ajoute aucun gain de discernement, ou là où une tradition rend mieux visible un plan du pouvoir qu’elle laisse elle-même dans l’ombre, la lecture archicratique doit se laisser limiter, compléter ou corriger.</w:t>
      </w:r>
    </w:p>
    <w:p>
      <w:pPr>
        <w:pStyle w:val="Heading2"/>
        <w:numPr>
          <w:ilvl w:val="1"/>
          <w:numId w:val="2"/>
        </w:numPr>
        <w:rPr/>
      </w:pPr>
      <w:r>
        <w:rPr>
          <w:b/>
          <w:bCs/>
        </w:rPr>
        <w:t>3.1 — Régimes des philosophies fondatrices de l’ordre —</w:t>
      </w:r>
      <w:r>
        <w:rPr/>
        <w:t xml:space="preserve"> </w:t>
      </w:r>
      <w:r>
        <w:rPr>
          <w:i/>
          <w:iCs/>
        </w:rPr>
        <w:t>puissance instituante</w:t>
      </w:r>
    </w:p>
    <w:p>
      <w:pPr>
        <w:pStyle w:val="BodyText"/>
        <w:rPr/>
      </w:pPr>
      <w:r>
        <w:rPr/>
        <w:t>À l’orée de la philosophie politique moderne s’impose une question matricielle : qu’est-ce qui fonde l’autorité, et à quelles conditions cette fondation peut-elle rendre le vivre-ensemble politiquement viable ? Les pensées étudiées ici — Hobbes, Locke et Rousseau — répondent toutes, chacune à leur manière, à cette exigence de structuration du commun. Mais elles le font à partir d’une arcalité fondatrice : peur primordiale, droit naturel, volonté générale. Dans chaque cas, un principe supérieur vient justifier l’ordre institué en le précédant, en l’orientant et en le contraignant.</w:t>
      </w:r>
    </w:p>
    <w:p>
      <w:pPr>
        <w:pStyle w:val="BodyText"/>
        <w:rPr/>
      </w:pPr>
      <w:r>
        <w:rPr/>
        <w:t>Or l’exigence archicratique ne se satisfait pas de cette extériorité du principe. Elle interroge moins ce qui fonde le pouvoir que ce qui permet de le tenir sans l’absolutiser, de le moduler sans l’abolir, et de rendre la co-viabilité collective effectivement praticable. De ce point de vue, les philosophies fondatrices sont à la fois indispensables et insuffisantes : indispensables parce qu’elles posent les cadres majeurs de la pensée politique moderne ; insuffisantes parce qu’elles confondent encore la structure de la régulation avec la seule légitimation du pouvoir.</w:t>
      </w:r>
    </w:p>
    <w:p>
      <w:pPr>
        <w:pStyle w:val="BodyText"/>
        <w:rPr/>
      </w:pPr>
      <w:r>
        <w:rPr/>
        <w:t>Le fil conducteur de cette section est donc le suivant : comment ces philosophies conçoivent-elles la régulation du vivre-ensemble, et en quoi leur logique de fondation entrave-t-elle la possibilité d’une co-viabilité modulée ? De Hobbes à Rousseau, la peur devient blocage, le droit devient clôture, la vertu devient injonction. C’est cette tension — entre légitimation fondatrice et régulation opérante — que nous allons explorer, afin d’en dégager à la fois les limites structurelles et les seuils d’un dépassement critique.</w:t>
      </w:r>
    </w:p>
    <w:p>
      <w:pPr>
        <w:pStyle w:val="Heading3"/>
        <w:numPr>
          <w:ilvl w:val="2"/>
          <w:numId w:val="2"/>
        </w:numPr>
        <w:rPr/>
      </w:pPr>
      <w:r>
        <w:rPr/>
        <w:t xml:space="preserve">3.1.1 — Peur, contrat et Léviathan : </w:t>
      </w:r>
      <w:r>
        <w:rPr>
          <w:i/>
          <w:iCs/>
        </w:rPr>
        <w:t>une régulation par dissuasion centralisée</w:t>
      </w:r>
    </w:p>
    <w:p>
      <w:pPr>
        <w:pStyle w:val="BodyText"/>
        <w:rPr/>
      </w:pPr>
      <w:r>
        <w:rPr/>
        <w:t xml:space="preserve">Il est impossible de penser l’histoire des régimes politiques modernes sans affronter l’ombre monumentale de Thomas Hobbes (1588–1679), figure matricielle de la modernité politique, dont l’œuvre </w:t>
      </w:r>
      <w:r>
        <w:rPr>
          <w:i/>
          <w:iCs/>
        </w:rPr>
        <w:t>Leviathan</w:t>
      </w:r>
      <w:r>
        <w:rPr/>
        <w:t xml:space="preserve"> (1651) constitue un acte inaugural dans l’édification théorique du pouvoir souverain. Mais ce que l’on nomme trop rapidement « contractualisme hobbesien » dissimule en réalité une conception profondément ambivalente de la régulation politique, à la fois radicalement novatrice dans sa formalisation anthropologique du pouvoir, et tragiquement mutilante dans son traitement univoque de la conflictualité. L’approche hobbesienne constitue à ce titre un archétype parfait — quoique limitatif — d’un régime de légitimation fondatrice ancré dans la dissuasion centralisée. Il est donc indispensable d’en déplier les prémisses, la structure, les enjeux, et les apories, pour mieux en situer la portée et la limitation au regard du paradigme archicratique.</w:t>
      </w:r>
    </w:p>
    <w:p>
      <w:pPr>
        <w:pStyle w:val="BodyText"/>
        <w:rPr/>
      </w:pPr>
      <w:r>
        <w:rPr/>
        <w:t xml:space="preserve">La pensée de Hobbes se fonde sur une hypothèse anthropologique qu’il faut comprendre dans toute sa brutalité : </w:t>
      </w:r>
      <w:r>
        <w:rPr>
          <w:i/>
          <w:iCs/>
        </w:rPr>
        <w:t>l’état de nature</w:t>
      </w:r>
      <w:r>
        <w:rPr/>
        <w:t>, loin d’être un idéal perdu ou une condition pré-politique neutre, est une condition de guerre de chacun contre chacun (</w:t>
      </w:r>
      <w:r>
        <w:rPr>
          <w:i/>
          <w:iCs/>
        </w:rPr>
        <w:t>bellum omnium contra omnes</w:t>
      </w:r>
      <w:r>
        <w:rPr/>
        <w:t>), où l’homme est un loup pour l’homme (</w:t>
      </w:r>
      <w:r>
        <w:rPr>
          <w:i/>
          <w:iCs/>
        </w:rPr>
        <w:t>homo homini lupus</w:t>
      </w:r>
      <w:r>
        <w:rPr/>
        <w:t>). L’élément moteur de cette configuration anthropologique n’est ni la haine, ni l’instinct, ni même la volonté de domination — mais la peur, cette passion primaire et primordiale, commune à tous, et qui révèle, selon Hobbes, la vulnérabilité constitutive des êtres humains livrés à eux-mêmes.</w:t>
      </w:r>
    </w:p>
    <w:p>
      <w:pPr>
        <w:pStyle w:val="BodyText"/>
        <w:rPr/>
      </w:pPr>
      <w:r>
        <w:rPr/>
        <w:t>C’est dans cette peur partagée que naît la possibilité d’un contrat. Non pas un contrat fondé sur la vertu ou la raison morale, mais un contrat de renoncement réciproque à l’usage illimité de sa liberté naturelle, au profit d’un tiers désigné — le souverain — à qui chacun transfère, en bloc, son droit de se défendre lui-même. Ce transfert est irréversible, indécomposable, sans appel. Il s’agit d’une autorité absolue légitimée par le besoin de sécurité, et fondée sur un acte fondateur — le pacte de soumission — qui ne saurait être dissous sans retomber dans la barbarie.</w:t>
      </w:r>
    </w:p>
    <w:p>
      <w:pPr>
        <w:pStyle w:val="BodyText"/>
        <w:rPr/>
      </w:pPr>
      <w:r>
        <w:rPr/>
        <w:t>La régulation, dans ce cadre, n’est donc ni démocratique, ni délibérative, mais centralisée, unilatérale, verticale et dissuasive. Elle repose non pas sur une co-viabilité dialoguée, mais sur une dissuasion systémique. La paix sociale est le résultat de la crainte inspirée par un pouvoir supérieur qui, tel le Léviathan biblique, incarne une figure surhumaine, presque monstrueuse, mais garante de la stabilité.</w:t>
      </w:r>
    </w:p>
    <w:p>
      <w:pPr>
        <w:pStyle w:val="BodyText"/>
        <w:rPr/>
      </w:pPr>
      <w:r>
        <w:rPr/>
        <w:t>« La seule façon d’ériger un pouvoir commun, (…) capable de défendre les hommes contre l’invasion des étrangers, et des torts qu’ils peuvent se faire les uns aux autres (…) est de rassembler tout leur pouvoir et toute leur force sur un seul homme, ou sur une seule assemblée d’hommes, qui puisse réduire toutes leurs volontés, à la majorité des voix, à une seule volonté (…) Cela fait, la multitude ainsi unie en une seule personne est appelée une république, en latin civitas. C’est là, la génération de ce grand Léviathan. » (</w:t>
      </w:r>
      <w:r>
        <w:rPr>
          <w:i/>
          <w:iCs/>
        </w:rPr>
        <w:t>Leviathan</w:t>
      </w:r>
      <w:r>
        <w:rPr/>
        <w:t>, chap. XVII, 1651)</w:t>
      </w:r>
    </w:p>
    <w:p>
      <w:pPr>
        <w:pStyle w:val="BodyText"/>
        <w:rPr/>
      </w:pPr>
      <w:r>
        <w:rPr/>
        <w:t>Ce passage montre bien que, pour Hobbes, le politique n’est pas d’abord un espace d’action conjointe, mais un mécanisme de neutralisation des violences. Le Léviathan n’est pas une institution morale ou un dispositif participatif, mais une machine de régulation coercitive, un automate symbolique de maintien de l’ordre.</w:t>
      </w:r>
    </w:p>
    <w:p>
      <w:pPr>
        <w:pStyle w:val="BodyText"/>
        <w:rPr/>
      </w:pPr>
      <w:r>
        <w:rPr/>
        <w:t>Il faut alors mesurer ce que le modèle hobbesien rend impossible. La régulation n’y est ni modulable, ni différenciable, ni stratifiée : elle est univoque, centralisée, homogénéisante. La souveraineté ne tolère ni division, ni partage, ni négociation ; toute pluralisation du pouvoir y apparaît comme une menace pour l’unité fondatrice, donc pour la paix elle-même. Il n’existe dès lors ni champ du dissensus légitime, ni dispositif d’ajustement réciproque, ni véritable scène d’épreuve. Le souverain concentre les fonctions normatives, exécutives et judiciaires dans une figure de pouvoir totalisante qui neutralise la conflictualité au lieu de l’intégrer.</w:t>
      </w:r>
    </w:p>
    <w:p>
      <w:pPr>
        <w:pStyle w:val="BodyText"/>
        <w:rPr/>
      </w:pPr>
      <w:r>
        <w:rPr/>
        <w:t>Du point de vue archicratique, cette construction échoue à penser la régulation comme processus. Elle fonde l’autorité, mais sans la moduler ; elle assure la sécurité, mais non la viabilité ; elle stabilise, mais au prix d’une dé-liaison structurelle du social, où les individus ne se reconnaissent plus comme cohabitants d’un monde commun, mais comme menaces à contenir. En ce sens, l’échec hobbesien est instructif : il révèle qu’aucune régulation viable ne peut se réduire à la dissuasion verticale d’un principe centralisé.</w:t>
      </w:r>
    </w:p>
    <w:p>
      <w:pPr>
        <w:pStyle w:val="Heading3"/>
        <w:numPr>
          <w:ilvl w:val="2"/>
          <w:numId w:val="2"/>
        </w:numPr>
        <w:rPr/>
      </w:pPr>
      <w:r>
        <w:rPr/>
        <w:t xml:space="preserve">3.1.2 — Droit naturel et propriété : </w:t>
      </w:r>
      <w:r>
        <w:rPr>
          <w:i/>
          <w:iCs/>
        </w:rPr>
        <w:t>une régulation par l’encadrement libéral</w:t>
      </w:r>
    </w:p>
    <w:p>
      <w:pPr>
        <w:pStyle w:val="BodyText"/>
        <w:rPr/>
      </w:pPr>
      <w:r>
        <w:rPr/>
        <w:t xml:space="preserve">Avec John Locke (1632–1704), un basculement décisif s’opère dans l’histoire des régimes de légitimation politique : là où Hobbes construisait l’ordre à partir de la peur et de la cession absolue de droits à une autorité centralisée, Locke inaugure une conception du pouvoir fondée sur la conservation, la limitation et la contractualisation équilibrée des droits fondamentaux. Le pouvoir politique n’est plus un Léviathan surplombant, mais un organe subordonné à des principes supérieurs : la </w:t>
      </w:r>
      <w:r>
        <w:rPr>
          <w:i/>
          <w:iCs/>
        </w:rPr>
        <w:t>loi naturelle</w:t>
      </w:r>
      <w:r>
        <w:rPr/>
        <w:t xml:space="preserve">, le </w:t>
      </w:r>
      <w:r>
        <w:rPr>
          <w:i/>
          <w:iCs/>
        </w:rPr>
        <w:t>droit de propriété</w:t>
      </w:r>
      <w:r>
        <w:rPr/>
        <w:t xml:space="preserve">, et le </w:t>
      </w:r>
      <w:r>
        <w:rPr>
          <w:i/>
          <w:iCs/>
        </w:rPr>
        <w:t>consentement des gouvernés</w:t>
      </w:r>
      <w:r>
        <w:rPr/>
        <w:t>. Cette architecture libérale — en apparence plus souple, plus humaniste, plus équilibrée — repose néanmoins sur un régime de régulation que nous qualifierons d’encadrement normatif minimaliste, échappant autant à la régulation par tension qu’à la structuration archicratique.</w:t>
      </w:r>
    </w:p>
    <w:p>
      <w:pPr>
        <w:pStyle w:val="BodyText"/>
        <w:rPr/>
      </w:pPr>
      <w:r>
        <w:rPr/>
        <w:t>À la différence de Hobbes, Locke ne conçoit pas l’état de nature comme une guerre permanente de chacun contre chacun. Il y voit plutôt une condition originelle d’égalité, de liberté et de rationalité limitée, dans laquelle les individus jouissent naturellement de droits à la vie, à la liberté, et surtout à la propriété. Cependant, cette situation demeure instable car sans juge commun : en cas de litige, chacun reste juge et partie, ce qui engendre inévitablement l’injustice et la spirale de la vengeance.</w:t>
      </w:r>
    </w:p>
    <w:p>
      <w:pPr>
        <w:pStyle w:val="BodyText"/>
        <w:rPr/>
      </w:pPr>
      <w:r>
        <w:rPr/>
        <w:t>Dès lors, le contrat social lockéen vise moins à instituer l’autorité qu’à en restreindre l’arbitraire. Il ne s’agit pas de remettre ses droits au souverain, mais de confier à un pouvoir public l’autorité nécessaire pour protéger les droits naturels déjà existants. Le gouvernement devient ainsi un mandataire, et non un seigneur. C’est la condition sine qua non de sa légitimité.</w:t>
      </w:r>
    </w:p>
    <w:p>
      <w:pPr>
        <w:pStyle w:val="BodyText"/>
        <w:rPr/>
      </w:pPr>
      <w:r>
        <w:rPr/>
        <w:t>« C’est pourquoi, la plus grande et la principale fin que se proposent les hommes, lorsqu’ils s’unissent en communauté et se soumettent à un gouvernement, c’est de conserver leurs propriétés, pour la conservation desquelles bien des choses manquent dans l’état de nature. » (</w:t>
      </w:r>
      <w:r>
        <w:rPr>
          <w:i/>
          <w:iCs/>
        </w:rPr>
        <w:t>Second traité de gouvernement</w:t>
      </w:r>
      <w:r>
        <w:rPr/>
        <w:t>, §124)</w:t>
      </w:r>
    </w:p>
    <w:p>
      <w:pPr>
        <w:pStyle w:val="BodyText"/>
        <w:rPr/>
      </w:pPr>
      <w:r>
        <w:rPr/>
        <w:t>Ce passage condense nettement la structure normative de la régulation chez Locke : elle est instrumentale, protectrice, subordonnée. Le politique n’a pas d’autonomie propre ; il n’est que l’émanation d’un pacte visant la protection des biens et des droits individuels. Il ne produit pas une régulation dynamique ; il fixe des limites, trace des bornes, encadre les excès.</w:t>
      </w:r>
    </w:p>
    <w:p>
      <w:pPr>
        <w:pStyle w:val="BodyText"/>
        <w:rPr/>
      </w:pPr>
      <w:r>
        <w:rPr/>
        <w:t>Le rôle fondateur de la propriété dans le système lockéen est central : elle constitue à la fois le fondement, la finalité et la mesure de la régulation politique. Pour Locke, la propriété naît dès l’état de nature, par le travail individuel appliqué à la matière. Elle précède donc l’institution politique, et impose des limites à celle-ci. La propriété devient ainsi un opérateur de régulation négative : le pouvoir ne peut ni l’abolir, ni l’outrepasser, sans se délégitimer.</w:t>
      </w:r>
    </w:p>
    <w:p>
      <w:pPr>
        <w:pStyle w:val="BodyText"/>
        <w:rPr/>
      </w:pPr>
      <w:r>
        <w:rPr/>
        <w:t>Mais cette configuration introduit un biais important : la régulation lockéenne demeure statique, prévisible et orientée vers la seule protection de l’acquis. L’ordre social y est pensé comme stabilité d’un cadre, non comme plasticité d’une composition. La co-viabilité n’y devient pas un horizon actif, mais l’effet supposé de la garantie des droits ; or ce postulat laisse hors champ les asymétries de pouvoir, les inégalités structurelles et les formes silencieuses de domination que peut elle-même produire la propriété.</w:t>
      </w:r>
    </w:p>
    <w:p>
      <w:pPr>
        <w:pStyle w:val="BodyText"/>
        <w:rPr/>
      </w:pPr>
      <w:r>
        <w:rPr/>
        <w:t>Replacé dans la grille archicratique, le modèle lockéen apparaît ainsi doublement limité : il refuse la centralisation hobbesienne, mais ne parvient pas pour autant à élaborer une pensée active, différenciée et ajustable de la régulation. Sa normativité demeure formelle, juridique et abstraite ; elle borne le pouvoir sans l’orchestrer, protège sans moduler, garantit sans articuler les tensions. C’est pourquoi le libéralisme lockéen engendre moins une régulation viable qu’une dépolitisation implicite de la régulation elle-même.</w:t>
      </w:r>
    </w:p>
    <w:p>
      <w:pPr>
        <w:pStyle w:val="Heading3"/>
        <w:numPr>
          <w:ilvl w:val="2"/>
          <w:numId w:val="2"/>
        </w:numPr>
        <w:rPr/>
      </w:pPr>
      <w:r>
        <w:rPr/>
        <w:t xml:space="preserve">3.1.3 — Volonté générale et législation de soi : </w:t>
      </w:r>
      <w:r>
        <w:rPr>
          <w:i/>
          <w:iCs/>
        </w:rPr>
        <w:t>une auto-régulation vertueuse</w:t>
      </w:r>
    </w:p>
    <w:p>
      <w:pPr>
        <w:pStyle w:val="BodyText"/>
        <w:rPr/>
      </w:pPr>
      <w:r>
        <w:rPr/>
        <w:t xml:space="preserve">La modernité politique opère une inflexion décisive avec Jean-Jacques Rousseau (1712–1778), en rupture aussi bien avec la verticalité dissuasive de Hobbes qu’avec l’encadrement libéral de Locke. Dans le </w:t>
      </w:r>
      <w:r>
        <w:rPr>
          <w:i/>
          <w:iCs/>
        </w:rPr>
        <w:t>Contrat social</w:t>
      </w:r>
      <w:r>
        <w:rPr/>
        <w:t xml:space="preserve"> (1762), Rousseau ne se contente pas de repenser les fondements de la souveraineté : il cherche à reconfigurer l’être même du collectif, en instituant un principe politique à la fois immanent, éthique, totalisant et normatif. Là où Hobbes séparait l’individu du souverain, et Locke l’enveloppait dans le droit, Rousseau identifie dans la </w:t>
      </w:r>
      <w:r>
        <w:rPr>
          <w:i/>
          <w:iCs/>
        </w:rPr>
        <w:t>volonté générale</w:t>
      </w:r>
      <w:r>
        <w:rPr/>
        <w:t xml:space="preserve"> le lieu même de la légitimité — une volonté qui est à la fois fondatrice, instituante et régulatrice, car c’est elle qui </w:t>
      </w:r>
      <w:r>
        <w:rPr>
          <w:i/>
          <w:iCs/>
        </w:rPr>
        <w:t>se donne à elle-même ses propres lois</w:t>
      </w:r>
      <w:r>
        <w:rPr/>
        <w:t>.</w:t>
      </w:r>
    </w:p>
    <w:p>
      <w:pPr>
        <w:pStyle w:val="BodyText"/>
        <w:rPr/>
      </w:pPr>
      <w:r>
        <w:rPr/>
        <w:t xml:space="preserve">C’est en cela que la pensée rousseauiste inaugure une modalité originale d’arcalité auto-référente — une forme de légitimation fondée non sur la transcendance, la propriété ou l’autorité extérieure, mais sur </w:t>
      </w:r>
      <w:r>
        <w:rPr>
          <w:i/>
          <w:iCs/>
        </w:rPr>
        <w:t>l’internalisation du pouvoir par le peuple lui-même</w:t>
      </w:r>
      <w:r>
        <w:rPr/>
        <w:t xml:space="preserve">. Cette tension entre autonomie collective et régulation normative constitue un terrain privilégié pour la critique archicratique, car elle engage le paradoxe fondamental de toute société humaine : </w:t>
      </w:r>
      <w:r>
        <w:rPr>
          <w:i/>
          <w:iCs/>
        </w:rPr>
        <w:t>comment articuler liberté et obligation sans recourir ni à la force ni à l’hétéronomie ?</w:t>
      </w:r>
    </w:p>
    <w:p>
      <w:pPr>
        <w:pStyle w:val="BodyText"/>
        <w:rPr/>
      </w:pPr>
      <w:r>
        <w:rPr/>
        <w:t xml:space="preserve">Chez Rousseau, l’état de nature n’est pas un enfer hobbesien, ni un paradis harmonieux : c’est une condition de liberté sans solidarité, d’indépendance sans société. Le contrat social devient alors le moment fondateur par lequel les individus acceptent, collectivement, de </w:t>
      </w:r>
      <w:r>
        <w:rPr>
          <w:i/>
          <w:iCs/>
        </w:rPr>
        <w:t>se transformer eux-mêmes en peuple</w:t>
      </w:r>
      <w:r>
        <w:rPr/>
        <w:t>, c’est-à-dire en sujet commun capable de vouloir et de se donner la loi. Il ne s’agit pas d’un pacte de sécurité ou de protection des biens, mais d’un acte de transfiguration politique : la fondation d’un corps collectif par l’adhésion libre à une volonté générale.</w:t>
      </w:r>
    </w:p>
    <w:p>
      <w:pPr>
        <w:pStyle w:val="BodyText"/>
        <w:rPr/>
      </w:pPr>
      <w:r>
        <w:rPr/>
        <w:t>« Chacun de nous met en commun sa personne et toute sa puissance sous la suprême direction de la volonté générale; et nous recevons en corps chaque membre comme partie indivisible du tout. » (</w:t>
      </w:r>
      <w:r>
        <w:rPr>
          <w:i/>
          <w:iCs/>
        </w:rPr>
        <w:t>Du Contrat social</w:t>
      </w:r>
      <w:r>
        <w:rPr/>
        <w:t>, I, 6).</w:t>
      </w:r>
    </w:p>
    <w:p>
      <w:pPr>
        <w:pStyle w:val="BodyText"/>
        <w:rPr/>
      </w:pPr>
      <w:r>
        <w:rPr/>
        <w:t>Cet acte d’auto-institution, tout à fait singulier dans l’histoire de la pensée politique, confère à la volonté générale un statut de source normative originaire. Elle n’est pas l’agrégat des volontés particulières, ni la simple somme des intérêts individuels. Elle est ce que le collectif peut vouloir pour sa propre conservation, son unité et son bien commun. Elle devient donc la forme même de l’arcalité démocratique — c’est-à-dire une légitimation interne, autoréférée, non hétéronome.</w:t>
      </w:r>
    </w:p>
    <w:p>
      <w:pPr>
        <w:pStyle w:val="BodyText"/>
        <w:rPr/>
      </w:pPr>
      <w:r>
        <w:rPr/>
        <w:t xml:space="preserve">Mais une telle conception, si elle prétend résoudre le problème de la légitimité par l’auto-législation, n’élucide pas encore le régime de régulation qu’elle implique. La volonté générale dit ce qu’il faut vouloir, mais ne dit pas </w:t>
      </w:r>
      <w:r>
        <w:rPr>
          <w:i/>
          <w:iCs/>
        </w:rPr>
        <w:t>comment</w:t>
      </w:r>
      <w:r>
        <w:rPr/>
        <w:t xml:space="preserve"> faire vivre cette volonté dans la conflictualité des situations, des différences, des altérités.</w:t>
      </w:r>
    </w:p>
    <w:p>
      <w:pPr>
        <w:pStyle w:val="BodyText"/>
        <w:rPr/>
      </w:pPr>
      <w:r>
        <w:rPr/>
        <w:t>Le projet rousseauiste repose donc sur un postulat éthique fort : la vertu du citoyen. La société politique n’est viable, selon Rousseau, que si chaque citoyen est animé d’un amour sincère du bien commun, d’un attachement à la loi, d’une disposition à sacrifier son intérêt particulier à l’intérêt général. C’est par la vertu que la volonté générale peut s’incarner sans coercition. D’où le rôle crucial de l’éducation, de la religion civile, de la patrie, et des rites collectifs dans la formation du citoyen.</w:t>
      </w:r>
    </w:p>
    <w:p>
      <w:pPr>
        <w:pStyle w:val="BodyText"/>
        <w:rPr/>
      </w:pPr>
      <w:r>
        <w:rPr/>
        <w:t>« Il faudrait des dieux pour donner des lois aux hommes. » (</w:t>
      </w:r>
      <w:r>
        <w:rPr>
          <w:i/>
          <w:iCs/>
        </w:rPr>
        <w:t>Du Contrat social</w:t>
      </w:r>
      <w:r>
        <w:rPr/>
        <w:t>, II, chapitre 7)</w:t>
      </w:r>
    </w:p>
    <w:p>
      <w:pPr>
        <w:pStyle w:val="BodyText"/>
        <w:rPr/>
      </w:pPr>
      <w:r>
        <w:rPr/>
        <w:t xml:space="preserve">Ce recours à une forme de </w:t>
      </w:r>
      <w:r>
        <w:rPr>
          <w:i/>
          <w:iCs/>
        </w:rPr>
        <w:t>transcendance civique</w:t>
      </w:r>
      <w:r>
        <w:rPr/>
        <w:t xml:space="preserve"> — qu’elle soit morale, éducative ou symbolique — révèle la fragilité régulatoire du modèle rousseauiste. Car si la vertu est la condition de la coïncidence entre liberté et loi, entre volonté individuelle et volonté générale, alors la régulation repose sur une intériorisation totale de la norme, au prix d’un certain silence de la pluralité, voire d’une exclusion implicite des dissidences.</w:t>
      </w:r>
    </w:p>
    <w:p>
      <w:pPr>
        <w:pStyle w:val="BodyText"/>
        <w:rPr/>
      </w:pPr>
      <w:r>
        <w:rPr/>
        <w:t>La volonté générale ne souffre pas d’alternative légitime : elle est tenue pour le seul lieu du juste, de sorte que toute volonté particulière qui s’en écarte tend à être réputée erronée, voire illégitime. La régulation se trouve alors absorbée par l’institution elle-même : il ne reste plus de place pour une médiation souple, différenciée, ajustable aux conflits de situation, aux écarts de perspective ou aux pluralités irréductibles.</w:t>
      </w:r>
    </w:p>
    <w:p>
      <w:pPr>
        <w:pStyle w:val="BodyText"/>
        <w:rPr/>
      </w:pPr>
      <w:r>
        <w:rPr/>
        <w:t>Du point de vue archicratique, c’est là la limite majeure du modèle rousseauiste. Sa puissance est réelle : il fonde l’idée républicaine moderne, pense le peuple comme sujet et relie démocratie et autonomie. Mais cette même puissance se retourne en clôture normative dès lors qu’elle ne parvient plus à penser le conflit comme ressource, le dissensus comme moteur, ni la régulation comme tension modulante entre fondation et puissance. Rousseau institue ; il ne régule pas encore.</w:t>
      </w:r>
    </w:p>
    <w:p>
      <w:pPr>
        <w:pStyle w:val="BodyText"/>
        <w:rPr/>
      </w:pPr>
      <w:r>
        <w:rPr/>
        <w:t>De Hobbes à Rousseau, ce premier ensemble doctrinal pose les prémices d’un questionnement régulateur fondamental, sans parvenir encore à penser la régulation comme tension productive et médiatisée de co-viabilité. Chacune de ces philosophies cherche à stabiliser l’ordre social à partir d’une arcalité fondatrice — le contrat chez Hobbes et Locke, la volonté générale chez Rousseau — mais aucune ne parvient à articuler pleinement le principe et la puissance dans un régime modulable de régulation. Chez Hobbes, la cratialité est coercitive et l’archicration absente ; chez Locke, elle est juridiquement encadrée mais politiquement inerte ; chez Rousseau, elle se trouve absorbée dans la clôture normative de la loi.</w:t>
      </w:r>
    </w:p>
    <w:p>
      <w:pPr>
        <w:pStyle w:val="BodyText"/>
        <w:rPr/>
      </w:pPr>
      <w:r>
        <w:rPr/>
        <w:t>Autrement dit, ces pensées fondatrices élaborent des formes d’ordre, parfois inventives, parfois autoritaires, mais échouent encore à rendre pensable une cratialité modulable, située et mise en tension avec l’arcalité. L’Archicratie y demeure absente, empêchée ou invisible. C’est pourquoi il faut désormais passer à un second registre : celui des régimes de régulation diffuse, immanente et incorporée, où la médiation n’est plus fondatrice, mais spatialisée, disciplinarisée et dispersée.</w:t>
      </w:r>
    </w:p>
    <w:p>
      <w:pPr>
        <w:pStyle w:val="Heading2"/>
        <w:numPr>
          <w:ilvl w:val="1"/>
          <w:numId w:val="2"/>
        </w:numPr>
        <w:rPr/>
      </w:pPr>
      <w:r>
        <w:rPr>
          <w:b/>
          <w:bCs/>
        </w:rPr>
        <w:t>3.2 — Régimes de la diffusion, du silence et de l’incorporation —</w:t>
      </w:r>
      <w:r>
        <w:rPr/>
        <w:t xml:space="preserve"> </w:t>
      </w:r>
      <w:r>
        <w:rPr>
          <w:i/>
          <w:iCs/>
        </w:rPr>
        <w:t>puissance immanente</w:t>
      </w:r>
    </w:p>
    <w:p>
      <w:pPr>
        <w:pStyle w:val="BodyText"/>
        <w:rPr/>
      </w:pPr>
      <w:r>
        <w:rPr/>
        <w:t>Si les régimes de légitimation fondatrice étudiés précédemment plaçaient au centre de la régulation une arcalité explicite — souveraineté, contrat, volonté générale, principe moral ou juridique —, la présente section examine un autre régime du pouvoir : celui où la régulation ne procède plus d’un commencement identifiable, mais de formes de diffusion, de dispersion et d’incorporation. Le pouvoir n’y apparaît plus seulement comme acte d’imposition ; il devient milieu, habitus, dispositif, exception, vibration affective — bref, forme d’ordonnancement sans ordonnateur pleinement visible.</w:t>
      </w:r>
    </w:p>
    <w:p>
      <w:pPr>
        <w:pStyle w:val="BodyText"/>
        <w:rPr/>
      </w:pPr>
      <w:r>
        <w:rPr/>
        <w:t>Avec Bourdieu, Foucault, Schmitt et Rosa — et, en amont, Mauss —, la régulation se déplace hors des centres explicites de légitimation. Le sujet régulateur s’y dissout dans des logiques structurelles ; la normativité se désinstitutionnalise ; le pouvoir devient spatial, technique, infralinguistique, rythmique. La question archicratique s’en trouve profondément reconfigurée : si l’archicration suppose un agencement tensionnel entre arkhê et krateîn, encore faut-il que ces pôles demeurent pensables. Or ici, l’autorité devient nébuleuse et l’exercice du pouvoir tend à se confondre avec des flux, des dispositions ou des dispositifs sans scène explicite.</w:t>
      </w:r>
    </w:p>
    <w:p>
      <w:pPr>
        <w:pStyle w:val="BodyText"/>
        <w:rPr/>
      </w:pPr>
      <w:r>
        <w:rPr/>
        <w:t>Ces philosophies rendent ainsi pensable une régulation immanente, souvent efficace, mais rarement articulée. L’archicratie y demeure latente : présente dans les plis du social, mais empêchée par l’absence de médiation explicite, de tension formalisée et de véritable scène d’épreuve. C’est cette cartographie implicite de l’archicration diffuse que nous allons examiner, afin d’en mesurer à la fois la puissance, les limites et les écarts à l’égard d’un paradigme régulateur pleinement opératoire.</w:t>
      </w:r>
    </w:p>
    <w:p>
      <w:pPr>
        <w:pStyle w:val="Heading3"/>
        <w:numPr>
          <w:ilvl w:val="2"/>
          <w:numId w:val="2"/>
        </w:numPr>
        <w:rPr/>
      </w:pPr>
      <w:r>
        <w:rPr>
          <w:b/>
          <w:bCs/>
        </w:rPr>
        <w:t xml:space="preserve">3.2.1 — Le </w:t>
      </w:r>
      <w:r>
        <w:rPr>
          <w:b/>
          <w:bCs/>
          <w:i/>
          <w:iCs/>
        </w:rPr>
        <w:t>fait social total</w:t>
      </w:r>
      <w:r>
        <w:rPr>
          <w:b/>
          <w:bCs/>
        </w:rPr>
        <w:t xml:space="preserve"> comme matrice incorporée : </w:t>
      </w:r>
      <w:r>
        <w:rPr>
          <w:b/>
          <w:bCs/>
          <w:i/>
          <w:iCs/>
        </w:rPr>
        <w:t>une régulation par le don</w:t>
      </w:r>
    </w:p>
    <w:p>
      <w:pPr>
        <w:pStyle w:val="BodyText"/>
        <w:rPr/>
      </w:pPr>
      <w:r>
        <w:rPr/>
        <w:t xml:space="preserve">Avant Bourdieu, Foucault, Schmitt ou Rosa — et bien en-deçà des conceptualisations philosophiques modernes du pouvoir, souvent arc-boutées sur l’institution, la souveraineté ou la rationalisation —, c’est dans l’œuvre fondatrice de Marcel Mauss que se dessine peut-être l’une des premières esquisses d’une régulation immanente, incorporée, non instituée mais efficace. </w:t>
      </w:r>
      <w:r>
        <w:rPr>
          <w:i/>
          <w:iCs/>
        </w:rPr>
        <w:t>L’Essai sur le don</w:t>
      </w:r>
      <w:r>
        <w:rPr/>
        <w:t xml:space="preserve"> (1925) n’est pas seulement un texte anthropologique : il constitue l’une des toutes premières modélisations systémiques d’une régulation sociale sans État, sans contrat formel, sans autorité juridique explicite, mais opérante, stable, durable. C’est en ce sens un texte paradigmatique, non seulement pour penser la logique du lien, mais aussi pour fonder une archéogénéalogie du paradigme archicratique.</w:t>
      </w:r>
    </w:p>
    <w:p>
      <w:pPr>
        <w:pStyle w:val="BodyText"/>
        <w:rPr/>
      </w:pPr>
      <w:r>
        <w:rPr/>
        <w:t xml:space="preserve">Mauss, par son concept de </w:t>
      </w:r>
      <w:r>
        <w:rPr>
          <w:i/>
          <w:iCs/>
        </w:rPr>
        <w:t>fait social total</w:t>
      </w:r>
      <w:r>
        <w:rPr/>
        <w:t>, décrit une régulation où l’ensemble du social — juridique, religieux, économique, esthétique, affectif, symbolique — est mobilisé dans un agencement d’obligations réciproques qui produit du lien, de la stabilité, de l’équilibre. Il écrit dès l’introduction : « Ces institutions ont cela de commun qu’elles expriment à la fois toutes les institutions. Ce sont, dans un sens, des faits sociaux totaux » (</w:t>
      </w:r>
      <w:r>
        <w:rPr>
          <w:i/>
          <w:iCs/>
        </w:rPr>
        <w:t>Essai sur le don</w:t>
      </w:r>
      <w:r>
        <w:rPr/>
        <w:t xml:space="preserve">, 1925, p. 4). Le don, dans les sociétés dites « primitives », n’est ni altruisme désintéressé, ni pure transaction économique : il est structure de régulation, dispositif de coordination sociale, configuration normative sans institution centralisée. Il incarne une archicration sans État, mais non sans règle ; une régulation sans souverain, mais non sans structuration ; une organisation sociale sans </w:t>
      </w:r>
      <w:r>
        <w:rPr>
          <w:i/>
          <w:iCs/>
        </w:rPr>
        <w:t>arkhê</w:t>
      </w:r>
      <w:r>
        <w:rPr/>
        <w:t xml:space="preserve"> explicite, mais non sans formes d’autorité incorporées.</w:t>
      </w:r>
    </w:p>
    <w:p>
      <w:pPr>
        <w:pStyle w:val="BodyText"/>
        <w:rPr/>
      </w:pPr>
      <w:r>
        <w:rPr/>
        <w:t xml:space="preserve">Mais ce don n’est pas une simple circulation d’objets ou de services : il est animé, traversé, habité par une force que Mauss, dans le sillage des traditions polynésiennes et mélanésiennes, nomme </w:t>
      </w:r>
      <w:r>
        <w:rPr>
          <w:i/>
          <w:iCs/>
        </w:rPr>
        <w:t>mana</w:t>
      </w:r>
      <w:r>
        <w:rPr/>
        <w:t xml:space="preserve">. Le </w:t>
      </w:r>
      <w:r>
        <w:rPr>
          <w:i/>
          <w:iCs/>
        </w:rPr>
        <w:t>mana</w:t>
      </w:r>
      <w:r>
        <w:rPr/>
        <w:t xml:space="preserve"> n’est pas un attribut personnel, ni un principe transcendant : c’est une </w:t>
      </w:r>
      <w:r>
        <w:rPr>
          <w:i/>
          <w:iCs/>
        </w:rPr>
        <w:t>puissance d’agir impalpable</w:t>
      </w:r>
      <w:r>
        <w:rPr/>
        <w:t xml:space="preserve">, </w:t>
      </w:r>
      <w:r>
        <w:rPr>
          <w:i/>
          <w:iCs/>
        </w:rPr>
        <w:t>invisible mais agissante</w:t>
      </w:r>
      <w:r>
        <w:rPr/>
        <w:t>, qui s’attache à l’objet donné et en fait un opérateur symbolique. L’objet donné n’est jamais neutre : il contient, véhicule, manifeste une charge, un prestige, une autorité non verbalisée mais contraignante. Mauss écrit :</w:t>
      </w:r>
    </w:p>
    <w:p>
      <w:pPr>
        <w:pStyle w:val="BodyText"/>
        <w:rPr/>
      </w:pPr>
      <w:r>
        <w:rPr/>
        <w:t xml:space="preserve">« Le </w:t>
      </w:r>
      <w:r>
        <w:rPr>
          <w:i/>
          <w:iCs/>
        </w:rPr>
        <w:t>mana</w:t>
      </w:r>
      <w:r>
        <w:rPr/>
        <w:t xml:space="preserve"> polynésien, lui-même, symbolise non seulement la force magique de chaque être, mais aussi son honneur, et l’une des meilleures traductions de ce mot, c’est </w:t>
      </w:r>
      <w:r>
        <w:rPr>
          <w:i/>
          <w:iCs/>
        </w:rPr>
        <w:t>autorité</w:t>
      </w:r>
      <w:r>
        <w:rPr/>
        <w:t xml:space="preserve">, </w:t>
      </w:r>
      <w:r>
        <w:rPr>
          <w:i/>
          <w:iCs/>
        </w:rPr>
        <w:t>richesse</w:t>
      </w:r>
      <w:r>
        <w:rPr/>
        <w:t>. » (</w:t>
      </w:r>
      <w:r>
        <w:rPr>
          <w:i/>
          <w:iCs/>
        </w:rPr>
        <w:t>Essai sur le don</w:t>
      </w:r>
      <w:r>
        <w:rPr/>
        <w:t>, chap. II)</w:t>
      </w:r>
    </w:p>
    <w:p>
      <w:pPr>
        <w:pStyle w:val="BodyText"/>
        <w:rPr/>
      </w:pPr>
      <w:r>
        <w:rPr/>
        <w:t xml:space="preserve">Le </w:t>
      </w:r>
      <w:r>
        <w:rPr>
          <w:i/>
          <w:iCs/>
        </w:rPr>
        <w:t>mana</w:t>
      </w:r>
      <w:r>
        <w:rPr/>
        <w:t xml:space="preserve"> est donc une intensité cratiale symboliquement incorporée, une énergie régulatrice sans corps, mais à effets tangibles : il engage, oblige, attache, désigne. Cette dimension est cruciale pour notre modélisation archicratique : le </w:t>
      </w:r>
      <w:r>
        <w:rPr>
          <w:i/>
          <w:iCs/>
        </w:rPr>
        <w:t>mana</w:t>
      </w:r>
      <w:r>
        <w:rPr/>
        <w:t xml:space="preserve"> anticipe la notion de valeur-autorité sans fondement souverain, une </w:t>
      </w:r>
      <w:r>
        <w:rPr>
          <w:i/>
          <w:iCs/>
        </w:rPr>
        <w:t>cratialité objectale</w:t>
      </w:r>
      <w:r>
        <w:rPr/>
        <w:t xml:space="preserve">, c’est-à-dire une puissance incorporée dans les médiations matérielles du lien social. C’est à la fois une force, un lien, un devoir — et c’est précisément cela qui rend le don </w:t>
      </w:r>
      <w:r>
        <w:rPr>
          <w:i/>
          <w:iCs/>
        </w:rPr>
        <w:t>régulateur sans institution</w:t>
      </w:r>
      <w:r>
        <w:rPr/>
        <w:t xml:space="preserve">, </w:t>
      </w:r>
      <w:r>
        <w:rPr>
          <w:i/>
          <w:iCs/>
        </w:rPr>
        <w:t>structurant sans structure</w:t>
      </w:r>
      <w:r>
        <w:rPr/>
        <w:t xml:space="preserve">, </w:t>
      </w:r>
      <w:r>
        <w:rPr>
          <w:i/>
          <w:iCs/>
        </w:rPr>
        <w:t>archicratique sans appareil</w:t>
      </w:r>
      <w:r>
        <w:rPr/>
        <w:t xml:space="preserve">. Il constitue le noyau énergétique du </w:t>
      </w:r>
      <w:r>
        <w:rPr>
          <w:i/>
          <w:iCs/>
        </w:rPr>
        <w:t>fait social total</w:t>
      </w:r>
      <w:r>
        <w:rPr/>
        <w:t>.</w:t>
      </w:r>
    </w:p>
    <w:p>
      <w:pPr>
        <w:pStyle w:val="BodyText"/>
        <w:rPr/>
      </w:pPr>
      <w:r>
        <w:rPr/>
        <w:t xml:space="preserve">Le génie maussien réside dans cette révélation : la </w:t>
      </w:r>
      <w:r>
        <w:rPr>
          <w:i/>
          <w:iCs/>
        </w:rPr>
        <w:t>trialectique du don</w:t>
      </w:r>
      <w:r>
        <w:rPr/>
        <w:t xml:space="preserve"> — donner, recevoir, rendre — constitue un mécanisme de régulation incorporé, structurel, mais sans souveraineté instituée. Ce mécanisme, écrit Mauss, est « obligatoire et cependant libre », ce qui signifie qu’il articule la contrainte sociale à l’agir symbolique, la nécessité au jeu rituel. Il incarne une </w:t>
      </w:r>
      <w:r>
        <w:rPr>
          <w:i/>
          <w:iCs/>
        </w:rPr>
        <w:t>normativité sans norme</w:t>
      </w:r>
      <w:r>
        <w:rPr/>
        <w:t xml:space="preserve">, une </w:t>
      </w:r>
      <w:r>
        <w:rPr>
          <w:i/>
          <w:iCs/>
        </w:rPr>
        <w:t>obligation non codifiée</w:t>
      </w:r>
      <w:r>
        <w:rPr/>
        <w:t xml:space="preserve">, mais socialement surdéterminante. La régulation est donc ici </w:t>
      </w:r>
      <w:r>
        <w:rPr>
          <w:i/>
          <w:iCs/>
        </w:rPr>
        <w:t>archicratique en puissance</w:t>
      </w:r>
      <w:r>
        <w:rPr/>
        <w:t xml:space="preserve"> : elle ne repose ni sur une légalité juridique, ni sur une rationalité économique, ni sur une violence imposée, mais sur une </w:t>
      </w:r>
      <w:r>
        <w:rPr>
          <w:i/>
          <w:iCs/>
        </w:rPr>
        <w:t>tension productive entre réciprocité, dette, honneur et mémoire</w:t>
      </w:r>
      <w:r>
        <w:rPr/>
        <w:t xml:space="preserve">. Il s’agit d’un pouvoir sans domination explicite, d’un ordre social sans institution centrale, d’une </w:t>
      </w:r>
      <w:r>
        <w:rPr>
          <w:i/>
          <w:iCs/>
        </w:rPr>
        <w:t>co-viabilité fondée sur l’obligation symbolique qui engage</w:t>
      </w:r>
      <w:r>
        <w:rPr/>
        <w:t>, contraint tout en restant libre.</w:t>
      </w:r>
    </w:p>
    <w:p>
      <w:pPr>
        <w:pStyle w:val="BodyText"/>
        <w:rPr/>
      </w:pPr>
      <w:r>
        <w:rPr/>
        <w:t>Cette architecture du don présente en effet plusieurs traits majeurs pour le paradigme archicratique. L’arcalité y est diffuse : traditions, cosmologies et croyances incorporées rendent le don contraignant sans recourir à une norme juridique explicite. La cratialité y est relationnelle : elle s’exerce par la dette, le prestige, l’honneur, l’obligation de répondre, non par coercition centralisée. Quant à l’archicration, elle prend la forme d’un mécanisme de viabilité structurelle, capable de faire tenir ensemble les relations sans État, sans bureaucratie et sans police, par la mémoire du don et l’horizon du retour.</w:t>
      </w:r>
    </w:p>
    <w:p>
      <w:pPr>
        <w:pStyle w:val="BodyText"/>
        <w:rPr/>
      </w:pPr>
      <w:r>
        <w:rPr/>
        <w:t>Le potlatch en donne la forme hypertrophiée : une cratialité exacerbée, visible, agonistique, mais encore intégrée au dispositif trialectique du donner, recevoir, rendre. Mauss met ainsi au jour la possibilité d’une co-viabilité régulée par des médiations rituelles, symboliques, affectives et mémorielles, autrement dit d’une matrice régulatrice pré-archicratique. Mais cette régulation reste pré-différenciée : elle ne connaît ni séparation fonctionnelle des sphères, ni réflexivité critique, ni véritable possibilité de désengagement. Le paradigme du don ouvre donc une voie décisive, mais encore inachevée, vers une régulation tensionnelle qui demande à être prolongée par une pensée de la modularité, de la différenciation et de la médiation consciente.</w:t>
      </w:r>
    </w:p>
    <w:p>
      <w:pPr>
        <w:pStyle w:val="Heading3"/>
        <w:numPr>
          <w:ilvl w:val="2"/>
          <w:numId w:val="2"/>
        </w:numPr>
        <w:rPr/>
      </w:pPr>
      <w:r>
        <w:rPr/>
        <w:t xml:space="preserve">3.2.2 — Habitus, champ et violence symbolique : </w:t>
      </w:r>
      <w:r>
        <w:rPr>
          <w:i/>
          <w:iCs/>
        </w:rPr>
        <w:t>une régulation par inertie sociale</w:t>
      </w:r>
    </w:p>
    <w:p>
      <w:pPr>
        <w:pStyle w:val="BodyText"/>
        <w:rPr/>
      </w:pPr>
      <w:r>
        <w:rPr/>
        <w:t xml:space="preserve">S’il est un penseur qui a su dévoiler avec une implacable lucidité les mécanismes invisibles de la domination sociale — sans pour autant proposer un modèle de régulation différenciée — c’est bien Pierre Bourdieu (1930–2002). Son œuvre, à la fois monumentale, rigoureusement charpentée et stratégiquement dispersée dans une série d’interventions croisées, constitue une critique radicale du pouvoir comme légitimation apparente, révélant les rouages profonds de ce qu’il nomme la violence symbolique. Ce n’est pas dans la loi, la souveraineté ou le contrat que se joue la régulation sociale, mais dans l’incorporation des structures, dans la reproduction déguisée des rapports de domination, dans la transformation des différences sociales en hiérarchies perçues comme naturelles. Il s’agit d’une régulation sans régulateur central, d’un pouvoir diffus qui opère par inertie sociale, sans recours à une structure centrale, ni à une </w:t>
      </w:r>
      <w:r>
        <w:rPr>
          <w:i/>
          <w:iCs/>
        </w:rPr>
        <w:t>arcalité</w:t>
      </w:r>
      <w:r>
        <w:rPr/>
        <w:t xml:space="preserve"> explicite : autrement dit, d’une </w:t>
      </w:r>
      <w:r>
        <w:rPr>
          <w:i/>
          <w:iCs/>
        </w:rPr>
        <w:t>désarchicration systémique</w:t>
      </w:r>
      <w:r>
        <w:rPr/>
        <w:t>, où la scène d’épreuve archicratique est absorbée dans la reproduction même des dispositions.</w:t>
      </w:r>
    </w:p>
    <w:p>
      <w:pPr>
        <w:pStyle w:val="BodyText"/>
        <w:rPr/>
      </w:pPr>
      <w:r>
        <w:rPr/>
        <w:t>Au fondement de cette régulation silencieuse, Bourdieu place l’habitus — ce concept central qu’il définit comme :</w:t>
      </w:r>
    </w:p>
    <w:p>
      <w:pPr>
        <w:pStyle w:val="BodyText"/>
        <w:rPr/>
      </w:pPr>
      <w:r>
        <w:rPr/>
        <w:t>« Des systèmes de dispositions durables et transposables, structures structurées prédisposées à fonctionner comme structures structurantes, c’est-à-dire en tant que principes générateurs et organisateurs de pratiques et de représentations. » (</w:t>
      </w:r>
      <w:r>
        <w:rPr>
          <w:i/>
          <w:iCs/>
        </w:rPr>
        <w:t>Le sens pratique</w:t>
      </w:r>
      <w:r>
        <w:rPr/>
        <w:t>, Éditions de Minuit, 1980, p. 88)</w:t>
      </w:r>
    </w:p>
    <w:p>
      <w:pPr>
        <w:pStyle w:val="BodyText"/>
        <w:rPr/>
      </w:pPr>
      <w:r>
        <w:rPr/>
        <w:t>L’</w:t>
      </w:r>
      <w:r>
        <w:rPr>
          <w:i/>
          <w:iCs/>
        </w:rPr>
        <w:t>habitus</w:t>
      </w:r>
      <w:r>
        <w:rPr/>
        <w:t xml:space="preserve"> fonctionne comme une mémoire sociale incarnée dans le corps, incorporée par la socialisation, qui guide les pratiques sans être perçue comme norme ou injonction. Il produit des régularités sans règle, des ajustements sans calcul, des conformités sans contrainte : c’est un </w:t>
      </w:r>
      <w:r>
        <w:rPr>
          <w:i/>
          <w:iCs/>
        </w:rPr>
        <w:t>krateîn</w:t>
      </w:r>
      <w:r>
        <w:rPr/>
        <w:t xml:space="preserve"> sans acte visible, une régulation infra-politique sans scène d’épreuve, sans commandement, sans appareil. Le pouvoir ne s’y exprime pas comme force, mais comme familiarité ; il n’impose pas, il s’éprouve. C’est la puissance la plus efficace : celle qui n’a plus besoin de s’énoncer pour s’exercer.</w:t>
      </w:r>
    </w:p>
    <w:p>
      <w:pPr>
        <w:pStyle w:val="BodyText"/>
        <w:rPr/>
      </w:pPr>
      <w:r>
        <w:rPr/>
        <w:t xml:space="preserve">On le voit par exemple dans ces phénomènes d’auto-exclusion symbolique, où des classes populaires n’osent entrer ni dans un musée, ni dans un théâtre, ni dans un restaurant étoilé — non parce qu’une règle l’interdit, mais parce que l’habitus les en dissuade de l’intérieur. Il ne s’agit pas ici d’un interdit explicite, mais d’un </w:t>
      </w:r>
      <w:r>
        <w:rPr>
          <w:i/>
          <w:iCs/>
        </w:rPr>
        <w:t>mécanisme incorporé de disqualification anticipée, d’un sentiment d’illégitimité intériorisé</w:t>
      </w:r>
      <w:r>
        <w:rPr/>
        <w:t xml:space="preserve">. C’est précisément là que réside la forme la plus pernicieuse de régulation : celle qui agit sans friction, sans médiation formelle, par simple mise en adéquation entre les dispositions et les structures. Le pouvoir devient </w:t>
      </w:r>
      <w:r>
        <w:rPr>
          <w:i/>
          <w:iCs/>
        </w:rPr>
        <w:t>ajustement</w:t>
      </w:r>
      <w:r>
        <w:rPr/>
        <w:t xml:space="preserve">, non </w:t>
      </w:r>
      <w:r>
        <w:rPr>
          <w:i/>
          <w:iCs/>
        </w:rPr>
        <w:t>affrontement</w:t>
      </w:r>
      <w:r>
        <w:rPr/>
        <w:t xml:space="preserve"> ; et sa plus grande efficacité réside dans le fait qu’</w:t>
      </w:r>
      <w:r>
        <w:rPr>
          <w:i/>
          <w:iCs/>
        </w:rPr>
        <w:t>il n’a pas à s’énoncer pour s’exercer</w:t>
      </w:r>
      <w:r>
        <w:rPr/>
        <w:t>.</w:t>
      </w:r>
    </w:p>
    <w:p>
      <w:pPr>
        <w:pStyle w:val="BodyText"/>
        <w:rPr/>
      </w:pPr>
      <w:r>
        <w:rPr/>
        <w:t xml:space="preserve">Cette régulation infra-symbolique s’ancre dans ce que Bourdieu appelle le champ : un espace social différencié, structuré par des luttes pour l’accès aux ressources symboliques et matérielles, où chaque agent occupe une position déterminée par la possession relative de capitaux — </w:t>
      </w:r>
      <w:r>
        <w:rPr>
          <w:i/>
          <w:iCs/>
        </w:rPr>
        <w:t>économique, culturel, social, symbolique</w:t>
      </w:r>
      <w:r>
        <w:rPr/>
        <w:t xml:space="preserve">. Ces capitaux définissent les marges de manœuvre, les possibilités d’action, les styles de vie, et les anticipations incorporées de ce qui est possible ou non. L’ordre social se maintient moins par l’interdit que par la présomption intériorisée du possible, selon laquelle certains individus, de facto, </w:t>
      </w:r>
      <w:r>
        <w:rPr>
          <w:i/>
          <w:iCs/>
        </w:rPr>
        <w:t>n’osent pas</w:t>
      </w:r>
      <w:r>
        <w:rPr/>
        <w:t xml:space="preserve">, </w:t>
      </w:r>
      <w:r>
        <w:rPr>
          <w:i/>
          <w:iCs/>
        </w:rPr>
        <w:t>n’imaginent pas</w:t>
      </w:r>
      <w:r>
        <w:rPr/>
        <w:t xml:space="preserve">, </w:t>
      </w:r>
      <w:r>
        <w:rPr>
          <w:i/>
          <w:iCs/>
        </w:rPr>
        <w:t>ne tentent pas</w:t>
      </w:r>
      <w:r>
        <w:rPr/>
        <w:t xml:space="preserve"> — car ils ont appris à ne pas se croire autorisés.</w:t>
      </w:r>
    </w:p>
    <w:p>
      <w:pPr>
        <w:pStyle w:val="BodyText"/>
        <w:rPr/>
      </w:pPr>
      <w:r>
        <w:rPr/>
        <w:t xml:space="preserve">Cette logique de reproduction silencieuse atteint son efficacité maximale dans le champ scolaire, que Bourdieu et Passeron décrivent comme une instance d’« </w:t>
      </w:r>
      <w:r>
        <w:rPr>
          <w:i/>
          <w:iCs/>
        </w:rPr>
        <w:t>inculcation durable de dispositions</w:t>
      </w:r>
      <w:r>
        <w:rPr/>
        <w:t xml:space="preserve"> », fondée sur la croyance collective dans la neutralité du mérite et la légitimité du savoir transmis (cf. </w:t>
      </w:r>
      <w:r>
        <w:rPr>
          <w:i/>
          <w:iCs/>
        </w:rPr>
        <w:t>La reproduction</w:t>
      </w:r>
      <w:r>
        <w:rPr/>
        <w:t>, 1970). L’école devient ainsi une méta-institution de régulation symbolique, où les habitus inégalement armés face aux exigences culturelles sont reconvertis en performances différenciées, invisibilisant les inégalités initiales. Le système éducatif ne corrige pas les dominations : il les légitime sous couvert d’objectivité. La régulation y est d’autant plus puissante qu’elle se présente comme neutre, d’autant plus contraignante qu’elle se veut libératrice.</w:t>
      </w:r>
    </w:p>
    <w:p>
      <w:pPr>
        <w:pStyle w:val="BodyText"/>
        <w:rPr/>
      </w:pPr>
      <w:r>
        <w:rPr/>
        <w:t xml:space="preserve">Dans </w:t>
      </w:r>
      <w:r>
        <w:rPr>
          <w:i/>
          <w:iCs/>
        </w:rPr>
        <w:t>La distinction</w:t>
      </w:r>
      <w:r>
        <w:rPr/>
        <w:t xml:space="preserve"> (1979), Bourdieu met en évidence comment les goûts, les pratiques culturelles, les habitus corporels même, participent à une mise en forme esthétique de la domination. Le jugement esthétique n’est jamais neutre : il est un acte de </w:t>
      </w:r>
      <w:r>
        <w:rPr>
          <w:i/>
          <w:iCs/>
        </w:rPr>
        <w:t>classement social</w:t>
      </w:r>
      <w:r>
        <w:rPr/>
        <w:t xml:space="preserve">, une </w:t>
      </w:r>
      <w:r>
        <w:rPr>
          <w:i/>
          <w:iCs/>
        </w:rPr>
        <w:t>distinction</w:t>
      </w:r>
      <w:r>
        <w:rPr/>
        <w:t xml:space="preserve">, une </w:t>
      </w:r>
      <w:r>
        <w:rPr>
          <w:i/>
          <w:iCs/>
        </w:rPr>
        <w:t>différenciation légitimée par l’apparence du naturel</w:t>
      </w:r>
      <w:r>
        <w:rPr/>
        <w:t xml:space="preserve">. De sorte que la culture fonctionne comme une sorte de mécanisme de tri social, les goûts et les couleurs étant vecteurs de marqueurs de classe sociale. Cette logique classificatoire trouve son prolongement dans ce que Bourdieu nomme </w:t>
      </w:r>
      <w:r>
        <w:rPr>
          <w:i/>
          <w:iCs/>
        </w:rPr>
        <w:t>le pouvoir symbolique</w:t>
      </w:r>
      <w:r>
        <w:rPr/>
        <w:t xml:space="preserve">, c’est-à-dire la </w:t>
      </w:r>
      <w:r>
        <w:rPr>
          <w:i/>
          <w:iCs/>
        </w:rPr>
        <w:t>capacité à imposer des catégories de perception légitimes</w:t>
      </w:r>
      <w:r>
        <w:rPr/>
        <w:t>, à produire des effets de monde par simple acte de nomination.</w:t>
      </w:r>
    </w:p>
    <w:p>
      <w:pPr>
        <w:pStyle w:val="BodyText"/>
        <w:rPr/>
      </w:pPr>
      <w:r>
        <w:rPr/>
        <w:t xml:space="preserve">« Le </w:t>
      </w:r>
      <w:r>
        <w:rPr>
          <w:i/>
          <w:iCs/>
        </w:rPr>
        <w:t>pouvoir symbolique</w:t>
      </w:r>
      <w:r>
        <w:rPr/>
        <w:t xml:space="preserve"> est en effet ce pouvoir invisible qui ne peut s’exercer qu’avec la complicité de ceux qui ne veulent pas savoir qu’ils le subissent ou même qu’ils l’exercent. » (</w:t>
      </w:r>
      <w:r>
        <w:rPr>
          <w:i/>
          <w:iCs/>
        </w:rPr>
        <w:t>Le pouvoir symbolique</w:t>
      </w:r>
      <w:r>
        <w:rPr/>
        <w:t>, 1991).</w:t>
      </w:r>
    </w:p>
    <w:p>
      <w:pPr>
        <w:pStyle w:val="BodyText"/>
        <w:rPr/>
      </w:pPr>
      <w:r>
        <w:rPr/>
        <w:t xml:space="preserve">La régulation sociale se joue alors dans les mots mêmes qui désignent, hiérarchisent, distinguent. Le langage ne se contente pas de décrire : il ordonne, organise, stabilise les rapports sociaux. En ce sens, </w:t>
      </w:r>
      <w:r>
        <w:rPr>
          <w:i/>
          <w:iCs/>
        </w:rPr>
        <w:t>toute nomination est déjà un acte de régulation</w:t>
      </w:r>
      <w:r>
        <w:rPr/>
        <w:t>.</w:t>
      </w:r>
    </w:p>
    <w:p>
      <w:pPr>
        <w:pStyle w:val="BodyText"/>
        <w:rPr/>
      </w:pPr>
      <w:r>
        <w:rPr/>
        <w:t>Ce que met ici au jour Bourdieu, c’est une arcalité incarnée : les structures d’autorité ne résident plus dans des textes ou des institutions explicites, mais dans les corps, les postures, les langages, les goûts et les affects. La violence symbolique devient ainsi le mode ordinaire d’une régulation silencieuse, efficace précisément parce qu’elle se présente comme naturelle. Il ne s’agit pas d’un excès ponctuel du pouvoir, mais de son régime régulier de reproduction.</w:t>
      </w:r>
    </w:p>
    <w:p>
      <w:pPr>
        <w:pStyle w:val="BodyText"/>
        <w:rPr/>
      </w:pPr>
      <w:r>
        <w:rPr/>
        <w:t>Dans la grille archicratique, cette puissance explicative est majeure : l’arcalité y est implicite et héritée, la cratialité différenciée mais invisible, et l’archicration proprement dite absente comme scène instituée. La régulation demeure infrapolitique, mimétique, reproductive. C’est aussi la limite du modèle bourdieusien : il démonte avec une lucidité exemplaire les rouages de la domination, mais ne pense ni médiation réflexive, ni conflictualité instituante, ni formes modulables de transformation. L’Archicratie doit donc le prolonger dialectiquement : intégrer sa critique du pouvoir symbolique, mais y réintroduire les conditions d’une régulation différenciée, explicite et transformatrice.</w:t>
      </w:r>
    </w:p>
    <w:p>
      <w:pPr>
        <w:pStyle w:val="Heading3"/>
        <w:numPr>
          <w:ilvl w:val="2"/>
          <w:numId w:val="2"/>
        </w:numPr>
        <w:rPr/>
      </w:pPr>
      <w:r>
        <w:rPr/>
        <w:t xml:space="preserve">3.2.3 — Dispositifs, biopouvoirs, gouvernementalité : </w:t>
      </w:r>
      <w:r>
        <w:rPr>
          <w:i/>
          <w:iCs/>
        </w:rPr>
        <w:t>une régulation sans dialogue</w:t>
      </w:r>
    </w:p>
    <w:p>
      <w:pPr>
        <w:pStyle w:val="BodyText"/>
        <w:rPr/>
      </w:pPr>
      <w:r>
        <w:rPr/>
        <w:t xml:space="preserve">Au sein des pensées critiques de la régulation, peu ont opéré un retournement aussi irremplaçable que celui de Michel Foucault (1926–1984). Ni juriste, ni politiste au sens classique, ni même sociologue de la domination, ce normalien de formation, agrégé de philosophie, construit une généalogie radicalement décentrée de la régulation contemporaine — non depuis les institutions constituées, mais depuis les corps, les pratiques, les savoirs, les normes, les architectures du visible. Là où Bourdieu exhibe la logique de reproduction sociale comme inertie incorporée, Foucault désarticule les conditions mêmes d’émergence du pouvoir : non plus comme volonté, loi ou violence instituée, mais comme </w:t>
      </w:r>
      <w:r>
        <w:rPr>
          <w:i/>
          <w:iCs/>
        </w:rPr>
        <w:t>dispositif</w:t>
      </w:r>
      <w:r>
        <w:rPr/>
        <w:t xml:space="preserve"> — c’est-à-dire comme réseau producteur de normativité anonyme, silencieuse, impalpable, mais omniprésente.</w:t>
      </w:r>
    </w:p>
    <w:p>
      <w:pPr>
        <w:pStyle w:val="BodyText"/>
        <w:rPr/>
      </w:pPr>
      <w:r>
        <w:rPr/>
        <w:t xml:space="preserve">Dans </w:t>
      </w:r>
      <w:r>
        <w:rPr>
          <w:i/>
          <w:iCs/>
        </w:rPr>
        <w:t>Surveiller et punir</w:t>
      </w:r>
      <w:r>
        <w:rPr/>
        <w:t xml:space="preserve"> (1975), Foucault dévoile une mutation majeure de la régulation sociale : la transition d’un régime du supplice, spectaculaire et souverain, à un régime disciplinaire, diffus et capillaire. Ce n’est plus le pouvoir qui se montre, c’est la société qui s’organise pour rendre chacun visible, donc normalisable, donc régulable. Le </w:t>
      </w:r>
      <w:r>
        <w:rPr>
          <w:i/>
          <w:iCs/>
        </w:rPr>
        <w:t>panoptique</w:t>
      </w:r>
      <w:r>
        <w:rPr/>
        <w:t>, dispositif architectural imaginé par Jeremy Bentham, devient chez Foucault le paradigme du pouvoir moderne : un pouvoir qui ne s’exerce plus depuis un centre, mais depuis une configuration asymétrique du regard, internalisée par les sujets eux-mêmes. Chacun devient son propre surveillant, sa propre norme.</w:t>
      </w:r>
    </w:p>
    <w:p>
      <w:pPr>
        <w:pStyle w:val="BodyText"/>
        <w:rPr/>
      </w:pPr>
      <w:r>
        <w:rPr/>
        <w:t xml:space="preserve">Cette régulation n’est plus fondée sur l’énonciation d’un interdit, mais sur la production d’un </w:t>
      </w:r>
      <w:r>
        <w:rPr>
          <w:i/>
          <w:iCs/>
        </w:rPr>
        <w:t>champ de normalité</w:t>
      </w:r>
      <w:r>
        <w:rPr/>
        <w:t>. Le pouvoir ne dit plus « tu dois », il suggère : « voilà ce qui est attendu, ce qui est efficace, ce qui est normal ». Il ne punit plus seulement ce qui dévie, il fabrique ce qui est conforme. Ce mouvement, Foucault le saisit dans une formule décisive :</w:t>
      </w:r>
    </w:p>
    <w:p>
      <w:pPr>
        <w:pStyle w:val="BodyText"/>
        <w:rPr/>
      </w:pPr>
      <w:r>
        <w:rPr/>
        <w:t>« (…) on peut dire qu’on dispose vraiment de très peu de choses. On dispose, d’abord, de cette affirmation que le pouvoir ne se donne pas, ni ne s’échange, ni ne se reprend, mais qu’il s’exerce et qu’il n’existe qu’en acte » (</w:t>
      </w:r>
      <w:r>
        <w:rPr>
          <w:i/>
          <w:iCs/>
        </w:rPr>
        <w:t>Il faut défendre la société</w:t>
      </w:r>
      <w:r>
        <w:rPr/>
        <w:t>, Cours au Collège de France, 1976)</w:t>
      </w:r>
    </w:p>
    <w:p>
      <w:pPr>
        <w:pStyle w:val="BodyText"/>
        <w:rPr/>
      </w:pPr>
      <w:r>
        <w:rPr/>
        <w:t xml:space="preserve">À partir de la fin des années 1970, Foucault approfondit cette dynamique par le concept de </w:t>
      </w:r>
      <w:r>
        <w:rPr>
          <w:i/>
          <w:iCs/>
        </w:rPr>
        <w:t>gouvernementalité</w:t>
      </w:r>
      <w:r>
        <w:rPr/>
        <w:t>. Ce dernier ne désigne pas l’action de gouverner en tant qu’exercice d’autorité, mais un art de conduire les conduites, un mode de production de subjectivité. Le gouvernement devient un agencement de normes, d’objectifs, de techniques, de discours et de savoirs qui façonne les comportements sans jamais avoir besoin de les ordonner directement. La régulation devient structurelle, environnementale, englobante.</w:t>
      </w:r>
    </w:p>
    <w:p>
      <w:pPr>
        <w:pStyle w:val="BodyText"/>
        <w:rPr/>
      </w:pPr>
      <w:r>
        <w:rPr/>
        <w:t xml:space="preserve">La clé de voûte de ce processus, c’est le </w:t>
      </w:r>
      <w:r>
        <w:rPr>
          <w:i/>
          <w:iCs/>
        </w:rPr>
        <w:t>dispositif</w:t>
      </w:r>
      <w:r>
        <w:rPr/>
        <w:t>. Dans un texte fondamental, Foucault le définit comme suit :</w:t>
      </w:r>
    </w:p>
    <w:p>
      <w:pPr>
        <w:pStyle w:val="BodyText"/>
        <w:rPr/>
      </w:pPr>
      <w:r>
        <w:rPr/>
        <w:t>« Ce que j’essaie de repérer sous ce nom, c’est, premièrement un ensemble résolument hétérogène comportant des discours, des institutions, des aménagements architecturaux, des décisions réglementaires, des lois, des mesures administratives, des énoncés scientifiques, des propositions philosophiques, morales, philanthropiques, bref : du dit aussi bien que du non-dit. Voilà les éléments du dispositif. Le dispositif lui-même, c’est le réseau qu’on établit entre ces éléments. » (</w:t>
      </w:r>
      <w:r>
        <w:rPr>
          <w:i/>
          <w:iCs/>
        </w:rPr>
        <w:t>Dits et écrits</w:t>
      </w:r>
      <w:r>
        <w:rPr/>
        <w:t>, t. III, Gallimard, 1994, p. 299)</w:t>
      </w:r>
    </w:p>
    <w:p>
      <w:pPr>
        <w:pStyle w:val="BodyText"/>
        <w:rPr/>
      </w:pPr>
      <w:r>
        <w:rPr/>
        <w:t xml:space="preserve">Ce passage est crucial pour notre analyse archicratique : il confirme que, chez Foucault, la régulation ne repose pas sur un </w:t>
      </w:r>
      <w:r>
        <w:rPr>
          <w:i/>
          <w:iCs/>
        </w:rPr>
        <w:t>arkhê</w:t>
      </w:r>
      <w:r>
        <w:rPr/>
        <w:t xml:space="preserve"> explicite ou fondé, mais sur des ensembles de corrélations opératoires, des structures sans architecte, des normativités sans principe. Il s’agit non d’une absence totale, mais d’un éclatement de l’arcalité en une multiplicité de foyers opératoires, sans centre, sans transcendance, sans justification première. L’</w:t>
      </w:r>
      <w:r>
        <w:rPr>
          <w:i/>
          <w:iCs/>
        </w:rPr>
        <w:t>arkhê</w:t>
      </w:r>
      <w:r>
        <w:rPr/>
        <w:t xml:space="preserve"> y devient tactique, fluente, composite.</w:t>
      </w:r>
    </w:p>
    <w:p>
      <w:pPr>
        <w:pStyle w:val="BodyText"/>
        <w:rPr/>
      </w:pPr>
      <w:r>
        <w:rPr/>
        <w:t xml:space="preserve">Dans </w:t>
      </w:r>
      <w:r>
        <w:rPr>
          <w:i/>
          <w:iCs/>
        </w:rPr>
        <w:t>Naissance de la biopolitique</w:t>
      </w:r>
      <w:r>
        <w:rPr/>
        <w:t xml:space="preserve"> (1979), Foucault explore une autre strate de cette régulation : le passage d’un pouvoir sur les territoires à un pouvoir sur les vivants. Le biopouvoir ne cherche pas à interdire, mais à gérer la vie, à l’optimiser, à l’encadrer. Il ne punit plus, il prévient. Il ne contraint pas, il incite. La régulation devient une modulation de l’environnement social et biologique, et l’individu une unité de gestion, une variable d’optimisation.</w:t>
      </w:r>
    </w:p>
    <w:p>
      <w:pPr>
        <w:pStyle w:val="BodyText"/>
        <w:rPr/>
      </w:pPr>
      <w:r>
        <w:rPr/>
        <w:t xml:space="preserve">Ce modèle atteint son sommet dans l’analyse de la gouvernementalité néolibérale. Loin d’un État autoritaire, ce dernier produit des sujets libres — mais cette liberté est elle-même programmée : elle est celle de l’auto-entrepreneur, du sujet évaluateur, du citoyen performant. Le pouvoir devient incitation, benchmarking, ajustement individuel. Le </w:t>
      </w:r>
      <w:r>
        <w:rPr>
          <w:i/>
          <w:iCs/>
        </w:rPr>
        <w:t>krateîn</w:t>
      </w:r>
      <w:r>
        <w:rPr/>
        <w:t xml:space="preserve"> n’est pas commandement, mais fabrication d’un désir conforme. Il ne se voit pas, il se vit.</w:t>
      </w:r>
    </w:p>
    <w:p>
      <w:pPr>
        <w:pStyle w:val="BodyText"/>
        <w:rPr/>
      </w:pPr>
      <w:r>
        <w:rPr/>
        <w:t>Du point de vue archicratique, Foucault propose une cartographie chirurgicale de la régulation comme exercice décentré, capillaire et stratifié. L’arcalité s’y dissémine en foyers opératoires sans centre ni transcendance ; la cratialité devient circulation de forces, conditionnement comportemental, production de subjectivités ; ce que nous nommons archicration n’y trouve pas encore sa forme scénique, mais une modulation infra-politique, efficace et muette.</w:t>
      </w:r>
    </w:p>
    <w:p>
      <w:pPr>
        <w:pStyle w:val="BodyText"/>
        <w:rPr/>
      </w:pPr>
      <w:r>
        <w:rPr/>
        <w:t>C’est là sa force et sa limite. Foucault décrit avec une précision rare les soubassements diffus de la régulation contemporaine, mais il ne permet pas encore de penser une régulation réflexive, volontairement instituée et différenciée. Le pouvoir est partout ; la régulation légitime demeure introuvable. L’Archicratie ne peut donc se contenter du diagnostic foucaldien : elle doit en reprendre la vigilance et la critique des fondements, tout en élaborant les conditions d’une recomposition explicite entre normativité distribuée, médiation et scène instituante.</w:t>
      </w:r>
    </w:p>
    <w:p>
      <w:pPr>
        <w:pStyle w:val="Heading3"/>
        <w:numPr>
          <w:ilvl w:val="2"/>
          <w:numId w:val="2"/>
        </w:numPr>
        <w:rPr/>
      </w:pPr>
      <w:r>
        <w:rPr>
          <w:b/>
          <w:bCs/>
        </w:rPr>
        <w:t xml:space="preserve">3.2.4 — Exception souveraine et théologie implicite : </w:t>
      </w:r>
      <w:r>
        <w:rPr>
          <w:b/>
          <w:bCs/>
          <w:i/>
          <w:iCs/>
        </w:rPr>
        <w:t>une régulation imposée</w:t>
      </w:r>
    </w:p>
    <w:p>
      <w:pPr>
        <w:pStyle w:val="BodyText"/>
        <w:rPr/>
      </w:pPr>
      <w:r>
        <w:rPr/>
        <w:t>Si Schmitt ne relève pas au premier chef d’une régulation diffuse ou incorporée, il constitue ici un point-limite central : celui où l’implicite théologico-politique recondense brutalement la régulation dans l’acte d’exception, révélant par contraste ce que les formes diffuses laissent souterrainement subsister.</w:t>
      </w:r>
    </w:p>
    <w:p>
      <w:pPr>
        <w:pStyle w:val="BodyText"/>
        <w:rPr/>
      </w:pPr>
      <w:r>
        <w:rPr/>
        <w:t>Si la philosophie moderne du pouvoir s’est souvent fondée sur la rationalité normative, le contrat social ou l’équilibre institutionnel, Carl Schmitt (1888–1985) se distingue par une rupture aussi radicale qu’irréversible : il ne pense pas le pouvoir depuis la règle, mais depuis l’</w:t>
      </w:r>
      <w:r>
        <w:rPr>
          <w:i/>
          <w:iCs/>
        </w:rPr>
        <w:t>exception</w:t>
      </w:r>
      <w:r>
        <w:rPr/>
        <w:t>. Il ne conçoit pas l’ordre depuis la loi, mais depuis la capacité à la suspendre. Son œuvre, profondément enracinée dans les fractures politiques du XXe siècle, propose une lecture intensément décisionnaliste de la souveraineté, et par là même, un modèle de régulation silencieuse, opaque, unilatérale, fondée sur un acte inaugural de fondation sans justification. Là où Foucault dissout le pouvoir dans les dispositifs, et Bourdieu dans les habitus, Schmitt le reconcentre dans le geste d’exception, dans le pouvoir de suspendre la normativité au nom d’un ordre antérieur, d’une autorité immaîtrisable, d’un fondement hors du langage.</w:t>
      </w:r>
    </w:p>
    <w:p>
      <w:pPr>
        <w:pStyle w:val="BodyText"/>
        <w:rPr/>
      </w:pPr>
      <w:r>
        <w:rPr/>
        <w:t xml:space="preserve">Dans </w:t>
      </w:r>
      <w:r>
        <w:rPr>
          <w:i/>
          <w:iCs/>
        </w:rPr>
        <w:t>Théologie politique</w:t>
      </w:r>
      <w:r>
        <w:rPr/>
        <w:t xml:space="preserve"> (1922), Schmitt énonce sa thèse la plus célèbre — et la plus directement mobilisable pour notre analyse archicratique :</w:t>
      </w:r>
    </w:p>
    <w:p>
      <w:pPr>
        <w:pStyle w:val="BodyText"/>
        <w:rPr/>
      </w:pPr>
      <w:r>
        <w:rPr/>
        <w:t>« Est souverain celui qui décide de la situation exceptionnelle. »</w:t>
        <w:br/>
        <w:t>(</w:t>
      </w:r>
      <w:r>
        <w:rPr>
          <w:i/>
          <w:iCs/>
        </w:rPr>
        <w:t>Théologie politique</w:t>
      </w:r>
      <w:r>
        <w:rPr/>
        <w:t>, 1922, trad. G. Schwab, Gallimard, 1988, p. 15)</w:t>
      </w:r>
    </w:p>
    <w:p>
      <w:pPr>
        <w:pStyle w:val="BodyText"/>
        <w:rPr/>
      </w:pPr>
      <w:r>
        <w:rPr/>
        <w:t xml:space="preserve">Par cette formule, il rompt avec toutes les pensées de la souveraineté fondées sur la légalité, la représentativité ou la participation. Il propose une conception archicratique extrême : </w:t>
      </w:r>
      <w:r>
        <w:rPr>
          <w:i/>
          <w:iCs/>
        </w:rPr>
        <w:t>l’autorité qui fonde n’a pas besoin d’être fondée</w:t>
      </w:r>
      <w:r>
        <w:rPr/>
        <w:t xml:space="preserve">. La régulation se constitue par un </w:t>
      </w:r>
      <w:r>
        <w:rPr>
          <w:i/>
          <w:iCs/>
        </w:rPr>
        <w:t>geste inaugural, non discursif, qui déclare l’exception, suspend la norme, institue un ordre par un acte qui échappe à toute procédure dialogique</w:t>
      </w:r>
      <w:r>
        <w:rPr/>
        <w:t>. C’est une régulation sans justification, sans médiation réflexive, sans co-viabilité négociée. L’</w:t>
      </w:r>
      <w:r>
        <w:rPr>
          <w:i/>
          <w:iCs/>
        </w:rPr>
        <w:t>arkhê</w:t>
      </w:r>
      <w:r>
        <w:rPr/>
        <w:t xml:space="preserve"> s’y manifeste sous la forme d’un pouvoir absolu, transcendant, voire mystique, qui n’a pas à démontrer sa légitimité : il la </w:t>
      </w:r>
      <w:r>
        <w:rPr>
          <w:i/>
          <w:iCs/>
        </w:rPr>
        <w:t>pose</w:t>
      </w:r>
      <w:r>
        <w:rPr/>
        <w:t xml:space="preserve"> en s’imposant.</w:t>
      </w:r>
    </w:p>
    <w:p>
      <w:pPr>
        <w:pStyle w:val="BodyText"/>
        <w:rPr/>
      </w:pPr>
      <w:r>
        <w:rPr/>
        <w:t>Ce qui rend cette pensée décisive pour notre modèle, c’est qu’elle anticipe le fonctionnement silencieux et invisible de nombreuses régulations contemporaines, notamment dans les états d’exception, les régimes d’urgence, les décisions exécutives sans délibération publique, mais aussi dans certains protocoles de sécurité algorithmique où la règle est suspendue au profit de la réaction automatique. En ce sens, Schmitt éclaire une limite extrême où la régulation bascule vers la pure décision, où le pouvoir ne passe plus par des lois partagées, mais par l’</w:t>
      </w:r>
      <w:r>
        <w:rPr>
          <w:i/>
          <w:iCs/>
        </w:rPr>
        <w:t>instauration univoque d’un cadre d’intervention, toujours justifié par la menace ou l’urgence.</w:t>
      </w:r>
    </w:p>
    <w:p>
      <w:pPr>
        <w:pStyle w:val="BodyText"/>
        <w:rPr/>
      </w:pPr>
      <w:r>
        <w:rPr/>
        <w:t>Plus encore, Schmitt dévoile la structure théologico-politique de la souveraineté moderne. Dans un passage fondamental, il écrit :</w:t>
      </w:r>
    </w:p>
    <w:p>
      <w:pPr>
        <w:pStyle w:val="BodyText"/>
        <w:rPr/>
      </w:pPr>
      <w:r>
        <w:rPr/>
        <w:t>« Tous les concepts prégnants de la théorie moderne de l’État sont des concepts théologiques sécularisés. » (</w:t>
      </w:r>
      <w:r>
        <w:rPr>
          <w:i/>
          <w:iCs/>
        </w:rPr>
        <w:t>Théologie politique</w:t>
      </w:r>
      <w:r>
        <w:rPr/>
        <w:t>, ibid., p. 46)</w:t>
      </w:r>
    </w:p>
    <w:p>
      <w:pPr>
        <w:pStyle w:val="BodyText"/>
        <w:rPr/>
      </w:pPr>
      <w:r>
        <w:rPr/>
        <w:t xml:space="preserve">Cela signifie que, pour Schmitt, l’État moderne repose encore — même sous ses formes séculières — sur des structures de pensée qui dérivent du sacré : la toute-puissance, la transcendance, l’infaillibilité, la décision irréversible. Le souverain moderne est le Dieu caché de la normativité politique : il n’agit pas toujours, mais </w:t>
      </w:r>
      <w:r>
        <w:rPr>
          <w:i/>
          <w:iCs/>
        </w:rPr>
        <w:t>il pourrait</w:t>
      </w:r>
      <w:r>
        <w:rPr/>
        <w:t xml:space="preserve"> ; et c’est cette virtualité fondatrice qui lui confère sa puissance. La régulation, dans cette optique, devient une </w:t>
      </w:r>
      <w:r>
        <w:rPr>
          <w:i/>
          <w:iCs/>
        </w:rPr>
        <w:t>économie de la décision différée, un régime où l’exception suspend le jeu des normes et se substitue à toute procédure négociée</w:t>
      </w:r>
      <w:r>
        <w:rPr/>
        <w:t>.</w:t>
      </w:r>
    </w:p>
    <w:p>
      <w:pPr>
        <w:pStyle w:val="BodyText"/>
        <w:rPr/>
      </w:pPr>
      <w:r>
        <w:rPr/>
        <w:t>Cette vision est précieuse pour l’analyse archicratique parce qu’elle exhibe une forme extrême de régulation : un acte de fondation sans fondement, une imposition pure qui suspend la norme pour instituer un ordre. Schmitt donne ainsi à penser une limite extrême de la régulation décisionniste, non dialogique, où l’arkhê se manifeste comme décision absolue et la cratialité comme puissance unilatérale, sans médiation réflexive ni co-viabilité négociée.</w:t>
      </w:r>
    </w:p>
    <w:p>
      <w:pPr>
        <w:pStyle w:val="BodyText"/>
        <w:rPr/>
      </w:pPr>
      <w:r>
        <w:rPr/>
        <w:t>Mais cette puissance de dévoilement est aussi sa limite radicale. Schmitt ne pense jamais une régulation différenciée, pluraliste ou modulable : la tension n’y devient pas productive, elle est tranchée ; le conflit n’y est pas régulé, mais décidé ; le politique n’y est pas orchestration, mais discrimination binaire. C’est pourquoi son œuvre constitue moins un modèle qu’une borne extrême : celle du non-dialogique, du non-réversible, du non-modulable, à partir de laquelle seulement peut se préciser, par contraste, l’exigence d’une archicration réflexive et co-viable.</w:t>
      </w:r>
    </w:p>
    <w:p>
      <w:pPr>
        <w:pStyle w:val="Heading3"/>
        <w:numPr>
          <w:ilvl w:val="2"/>
          <w:numId w:val="2"/>
        </w:numPr>
        <w:rPr/>
      </w:pPr>
      <w:r>
        <w:rPr/>
        <w:t xml:space="preserve">3.2.5 — Résonance et stabilisation du lien : </w:t>
      </w:r>
      <w:r>
        <w:rPr>
          <w:i/>
          <w:iCs/>
        </w:rPr>
        <w:t>une régulation affective inopérante</w:t>
      </w:r>
    </w:p>
    <w:p>
      <w:pPr>
        <w:pStyle w:val="BodyText"/>
        <w:rPr/>
      </w:pPr>
      <w:r>
        <w:rPr/>
        <w:t xml:space="preserve">La pensée de </w:t>
      </w:r>
      <w:r>
        <w:rPr>
          <w:i/>
          <w:iCs/>
        </w:rPr>
        <w:t>Hartmut Rosa</w:t>
      </w:r>
      <w:r>
        <w:rPr/>
        <w:t xml:space="preserve">, issue de la tradition critique allemande, se distingue par une reformulation audacieuse des pathologies de la modernité : au lieu de les envisager sous l’angle classique de l’aliénation économique, du pouvoir disciplinaire ou du déficit démocratique, il les appréhende comme </w:t>
      </w:r>
      <w:r>
        <w:rPr>
          <w:i/>
          <w:iCs/>
        </w:rPr>
        <w:t>déficits relationnels</w:t>
      </w:r>
      <w:r>
        <w:rPr/>
        <w:t xml:space="preserve"> — une mise en sourdine du monde, une perte de capacité à entrer en relation vivante avec ce qui nous entoure. Cette perspective, exposée notamment dans </w:t>
      </w:r>
      <w:r>
        <w:rPr>
          <w:i/>
          <w:iCs/>
        </w:rPr>
        <w:t>Résonance. Une sociologie de la relation au monde</w:t>
      </w:r>
      <w:r>
        <w:rPr/>
        <w:t xml:space="preserve"> (La Découverte, 2018), fait de la </w:t>
      </w:r>
      <w:r>
        <w:rPr>
          <w:i/>
          <w:iCs/>
        </w:rPr>
        <w:t>résonance</w:t>
      </w:r>
      <w:r>
        <w:rPr/>
        <w:t xml:space="preserve"> une catégorie centrale pour penser les conditions de la co-viabilité humaine.</w:t>
      </w:r>
    </w:p>
    <w:p>
      <w:pPr>
        <w:pStyle w:val="BodyText"/>
        <w:rPr/>
      </w:pPr>
      <w:r>
        <w:rPr/>
        <w:t xml:space="preserve">Selon Rosa, la modernité accélérée — définie par un triptyque d’accélération technique, sociale et existentielle — provoque un </w:t>
      </w:r>
      <w:r>
        <w:rPr>
          <w:i/>
          <w:iCs/>
        </w:rPr>
        <w:t>mutisme du monde</w:t>
      </w:r>
      <w:r>
        <w:rPr/>
        <w:t xml:space="preserve">. Les institutions, les rythmes, les technologies et les formes sociales se déploient dans une logique d’optimisation permanente, sans égard pour les formes de sens, d’engagement ou de transformation mutuelle. Il en résulte un isolement subjectif : l’individu devient performant mais </w:t>
      </w:r>
      <w:r>
        <w:rPr>
          <w:i/>
          <w:iCs/>
        </w:rPr>
        <w:t>infréquentable</w:t>
      </w:r>
      <w:r>
        <w:rPr/>
        <w:t xml:space="preserve">, actif mais </w:t>
      </w:r>
      <w:r>
        <w:rPr>
          <w:i/>
          <w:iCs/>
        </w:rPr>
        <w:t>désaffecté</w:t>
      </w:r>
      <w:r>
        <w:rPr/>
        <w:t>.</w:t>
      </w:r>
    </w:p>
    <w:p>
      <w:pPr>
        <w:pStyle w:val="BodyText"/>
        <w:rPr/>
      </w:pPr>
      <w:r>
        <w:rPr/>
        <w:t xml:space="preserve">Pour Rosa, la </w:t>
      </w:r>
      <w:r>
        <w:rPr>
          <w:i/>
          <w:iCs/>
        </w:rPr>
        <w:t>résonance</w:t>
      </w:r>
      <w:r>
        <w:rPr/>
        <w:t xml:space="preserve"> constitue la contrepartie de ce désenchantement. Elle est </w:t>
      </w:r>
      <w:r>
        <w:rPr>
          <w:i/>
          <w:iCs/>
        </w:rPr>
        <w:t>cette forme de rapport où sujet et monde se répondent, se transforment mutuellement, sans fusion ni instrumentalisation</w:t>
      </w:r>
      <w:r>
        <w:rPr/>
        <w:t>. Elle suppose une disponibilité, une ouverture affective, une capacité à être atteint, touché, modifié — mais sans que cette modification ne soit une domination. Il écrit :</w:t>
      </w:r>
    </w:p>
    <w:p>
      <w:pPr>
        <w:pStyle w:val="BodyText"/>
        <w:rPr/>
      </w:pPr>
      <w:r>
        <w:rPr/>
        <w:t>« La résonance est une forme de relation au monde associant affection et émotion, intérêt propre et sentiment d’efficacité personnelle, dans laquelle le sujet et le monde se touchent et se transforment mutuellement. La résonance n’est pas une relation d’écho, mais une relation de réponse. Les relations de résonance présupposent que le sujet et le monde sont suffisamment “fermés”, ou consistants, afin de pouvoir parler de leur propre voix, et suffisamment ouverts afin de se laisser affecter et atteindre. » (</w:t>
      </w:r>
      <w:r>
        <w:rPr>
          <w:i/>
          <w:iCs/>
        </w:rPr>
        <w:t>Résonance</w:t>
      </w:r>
      <w:r>
        <w:rPr/>
        <w:t>, 2018)</w:t>
      </w:r>
    </w:p>
    <w:p>
      <w:pPr>
        <w:pStyle w:val="BodyText"/>
        <w:rPr/>
      </w:pPr>
      <w:r>
        <w:rPr/>
        <w:t>En reconfigurant le lien social autour de la capacité d’être affecté par le monde, Rosa déplace la régulation hors des dispositifs, des structures normatives et des processus décisionnels. Il fait de la relation elle-même un opérateur ontologique de viabilité. Mais c’est aussi la limite décisive de sa pensée : la régulation y perd son sujet politique, sa médiation et sa différenciation. Il ne demeure plus qu’une espérance de résonance, conceptuellement stimulante, mais peu opératoire dans les conditions de conflictualité, d’asymétrie et de rupture qui constituent précisément le terrain de l’Archicratie.</w:t>
      </w:r>
    </w:p>
    <w:p>
      <w:pPr>
        <w:pStyle w:val="BodyText"/>
        <w:rPr/>
      </w:pPr>
      <w:r>
        <w:rPr/>
        <w:t>Dans cette perspective, l’arcalité se dissout dans une normativité implicite de la résonance, la cratialité se trouve neutralisée dans l’idéal d’une relation harmonique, et l’archicration elle-même se réduit à un souhait ontologique sans dispositif ni architecture. La résonance demeure donc une ressource précieuse pour rappeler la dimension sensible de la co-viabilité, mais elle ne suffit pas à penser son orchestration. L’apport de Rosa doit ainsi être intégré comme condition partielle d’une archicration sensible, non comme modèle achevé de régulation.</w:t>
      </w:r>
    </w:p>
    <w:p>
      <w:pPr>
        <w:pStyle w:val="BodyText"/>
        <w:rPr/>
      </w:pPr>
      <w:r>
        <w:rPr/>
        <w:t>À travers ces régimes de régulation diffuse — champ, dispositif, exception, résonance — se dessine une redéfinition majeure du pouvoir : non plus autorité instituée, mais configuration émergente ; non plus norme centralisée, mais agencement diffus ; non plus direction explicite, mais inertie sociale, modulation comportementale ou affectivité structurante. Chacune de ces pensées démantèle l’illusion d’un pouvoir transcendant, mais aucune ne parvient encore à construire les médiations qui rendraient cette régulation pleinement modulable, réflexive et orchestrée.</w:t>
      </w:r>
    </w:p>
    <w:p>
      <w:pPr>
        <w:pStyle w:val="BodyText"/>
        <w:rPr/>
      </w:pPr>
      <w:r>
        <w:rPr/>
        <w:t>Bourdieu révèle l’incorporation silencieuse des dominations ; Foucault dissémine la régulation dans les dispositifs ; Schmitt montre sa captation par l’exception ; Rosa en déplace l’horizon vers la résonance. Toutes ouvrent ainsi une brèche décisive : celle d’une régulation non plus imposée mais distribuée, non plus fondée mais émergente. Mais cette brèche demeure inachevée tant que l’articulation explicite entre arcalité, cratialité et archicration n’est pas pensée. C’est précisément dans cet intervalle que s’ouvrira la section suivante, où l’Archicratie deviendra pensable comme processus de subjectivation, de configuration et de tension régulatrice.</w:t>
      </w:r>
    </w:p>
    <w:p>
      <w:pPr>
        <w:pStyle w:val="Heading2"/>
        <w:numPr>
          <w:ilvl w:val="1"/>
          <w:numId w:val="2"/>
        </w:numPr>
        <w:rPr/>
      </w:pPr>
      <w:r>
        <w:rPr>
          <w:b/>
          <w:bCs/>
        </w:rPr>
        <w:t>3.3 — Régimes de la subjectivation, de l’affect et de la configuration —</w:t>
      </w:r>
      <w:r>
        <w:rPr/>
        <w:t xml:space="preserve"> </w:t>
      </w:r>
      <w:r>
        <w:rPr>
          <w:i/>
          <w:iCs/>
        </w:rPr>
        <w:t>puissance émergente</w:t>
      </w:r>
    </w:p>
    <w:p>
      <w:pPr>
        <w:pStyle w:val="BodyText"/>
        <w:rPr/>
      </w:pPr>
      <w:r>
        <w:rPr/>
        <w:t>Un seuil est franchi. Après les régimes fondationnels de l’ordre et les régimes diffus de la régulation silencieuse, apparaît une autre veine de pensée : celle où la régulation ne prend origine ni dans un arkhê extérieur, ni dans une machinerie anonyme, mais dans la dynamique même de la vie, des affects, de l’individuation et de la co-configuration d’un monde commun. Ici, arkhê, krateîn et archicration cessent d’apparaître comme des instances séparées : ils deviennent mouvants, plastiques, émergents.</w:t>
      </w:r>
    </w:p>
    <w:p>
      <w:pPr>
        <w:pStyle w:val="BodyText"/>
        <w:rPr/>
      </w:pPr>
      <w:r>
        <w:rPr/>
        <w:t>La régulation ne se pense plus comme structure imposée, mais comme processus ; non plus comme forme surplombante, mais comme configuration évolutive, relationnelle et transductive. C’est dans cette perspective que s’inscrivent Spinoza, Elias, Simondon et Arendt : chacun, à sa manière, tente de penser une puissance régulatrice immanente, non imposante, mais effective. Tous rendent possible une refondation partielle du paradigme archicratique en faisant apparaître la co-viabilité comme tension productive enchâssée dans les formes de vie elles-mêmes.</w:t>
      </w:r>
    </w:p>
    <w:p>
      <w:pPr>
        <w:pStyle w:val="BodyText"/>
        <w:rPr/>
      </w:pPr>
      <w:r>
        <w:rPr/>
        <w:t>Mais cette percée a aussi ses limites. Ces pensées rendent pensables des puissances de subjectivation, de configuration ou d’apparition ; elles ne fournissent pas encore, du moins pas entièrement, les médiations, les architectures ni les dispositifs capables d’en soutenir durablement l’opérativité. C’est l’enjeu de cette section : dégager, dans chacune d’elles, ce qu’elle apporte à une pensée archicratique de la régulation, sans effacer la singularité de son geste ni surinterpréter ses promesses.</w:t>
      </w:r>
    </w:p>
    <w:p>
      <w:pPr>
        <w:pStyle w:val="Heading3"/>
        <w:numPr>
          <w:ilvl w:val="2"/>
          <w:numId w:val="2"/>
        </w:numPr>
        <w:rPr/>
      </w:pPr>
      <w:r>
        <w:rPr/>
        <w:t xml:space="preserve">3.3.1 — Conatus, affects et multitude — </w:t>
      </w:r>
      <w:r>
        <w:rPr>
          <w:i/>
          <w:iCs/>
        </w:rPr>
        <w:t>une régulation intuitive</w:t>
      </w:r>
    </w:p>
    <w:p>
      <w:pPr>
        <w:pStyle w:val="BodyText"/>
        <w:rPr/>
      </w:pPr>
      <w:r>
        <w:rPr/>
        <w:t>Parmi les penseurs qui auront déplacé la question du pouvoir hors de la sphère juridique, théologico-politique ou institutionnelle, Baruch Spinoza (1632–1677) occupe une place d’exception. Sa pensée n’introduit pas la régulation du vivre-ensemble comme réponse à un chaos originel (comme chez Hobbes), ni comme pacte rationnel (comme chez Rousseau), ni comme construction idéologique masquant des dominations (comme chez Bourdieu ou Foucault), mais comme dynamique immanente de la vie elle-même. Le cœur de sa philosophie politique — et plus encore de sa philosophie éthico-politique — se fonde dans une ontologie de la puissance, où la régulation s’effectue non par imposition ni par consentement, mais par modulation des affects, composition des puissances, articulation des devenirs. Autrement dit : l’</w:t>
      </w:r>
      <w:r>
        <w:rPr>
          <w:i/>
          <w:iCs/>
        </w:rPr>
        <w:t>Archicratie</w:t>
      </w:r>
      <w:r>
        <w:rPr/>
        <w:t xml:space="preserve"> chez Spinoza n’est pas une structure ; elle est un champ de consistance affective, un diagramme de potentiels co-affectés.</w:t>
      </w:r>
    </w:p>
    <w:p>
      <w:pPr>
        <w:pStyle w:val="BodyText"/>
        <w:rPr/>
      </w:pPr>
      <w:r>
        <w:rPr/>
        <w:t xml:space="preserve">Le point de départ de cette pensée régulatrice non-normative, c’est le </w:t>
      </w:r>
      <w:r>
        <w:rPr>
          <w:i/>
          <w:iCs/>
        </w:rPr>
        <w:t>conatus.</w:t>
      </w:r>
      <w:r>
        <w:rPr/>
        <w:t xml:space="preserve"> Il ne s’agit pas d’un instinct de survie psychologique, mais d’un principe ontologique, </w:t>
      </w:r>
      <w:r>
        <w:rPr/>
        <w:t xml:space="preserve">soit </w:t>
      </w:r>
      <w:r>
        <w:rPr/>
        <w:t>« l’effort par lequel chaque chose s’efforce de persévérer dans son être n’est rien à part l’essence actuelle de cette chose. » (Éthique, GF-Flammarion, III, Prop. 7, p.143).</w:t>
      </w:r>
    </w:p>
    <w:p>
      <w:pPr>
        <w:pStyle w:val="BodyText"/>
        <w:rPr/>
      </w:pPr>
      <w:r>
        <w:rPr/>
        <w:t xml:space="preserve">Le </w:t>
      </w:r>
      <w:r>
        <w:rPr>
          <w:i/>
          <w:iCs/>
        </w:rPr>
        <w:t>conatus</w:t>
      </w:r>
      <w:r>
        <w:rPr/>
        <w:t xml:space="preserve"> est la pulsation première de l’existence, son effort, son énergie d’affirmation. Il est aussi le lieu premier où se joue la régulation, car toute chose (humaine ou non) cherche à accroître sa </w:t>
      </w:r>
      <w:r>
        <w:rPr>
          <w:i/>
          <w:iCs/>
        </w:rPr>
        <w:t>puissance d’exister</w:t>
      </w:r>
      <w:r>
        <w:rPr/>
        <w:t>. Or, cette puissance est toujours relative : elle dépend des rencontres, des alliances, des affectations. Le sujet n’est pas autonome, il est transindividuel, traversé, affecté, constitué par les rapports qu’il entretient avec les autres êtres.</w:t>
      </w:r>
    </w:p>
    <w:p>
      <w:pPr>
        <w:pStyle w:val="BodyText"/>
        <w:rPr/>
      </w:pPr>
      <w:r>
        <w:rPr/>
        <w:t xml:space="preserve">Ainsi, dans le livre III de </w:t>
      </w:r>
      <w:r>
        <w:rPr>
          <w:i/>
          <w:iCs/>
        </w:rPr>
        <w:t>l’Éthique</w:t>
      </w:r>
      <w:r>
        <w:rPr/>
        <w:t xml:space="preserve">, Spinoza développe une véritable </w:t>
      </w:r>
      <w:r>
        <w:rPr>
          <w:i/>
          <w:iCs/>
        </w:rPr>
        <w:t>mécanique des affects</w:t>
      </w:r>
      <w:r>
        <w:rPr/>
        <w:t xml:space="preserve">, où joie et tristesse ne sont pas des états psychiques, mais des variations dans la </w:t>
      </w:r>
      <w:r>
        <w:rPr>
          <w:i/>
          <w:iCs/>
        </w:rPr>
        <w:t>puissance d’agir</w:t>
      </w:r>
      <w:r>
        <w:rPr/>
        <w:t>. La joie (</w:t>
      </w:r>
      <w:r>
        <w:rPr>
          <w:i/>
          <w:iCs/>
        </w:rPr>
        <w:t>laetitia</w:t>
      </w:r>
      <w:r>
        <w:rPr/>
        <w:t>) est ce qui augmente notre puissance d’exister ; la tristesse (</w:t>
      </w:r>
      <w:r>
        <w:rPr>
          <w:i/>
          <w:iCs/>
        </w:rPr>
        <w:t>tristitia</w:t>
      </w:r>
      <w:r>
        <w:rPr/>
        <w:t>), ce qui la diminue. La régulation, dans cette perspective, n’est donc pas imposition d’un ordre, mais composition d’une dynamique affective collective, qui tend à maximiser les affects joyeux compatibles. Elle repose sur des modulations continues, des ajustements réciproques entre puissances, des configurations mouvantes d’affectation.</w:t>
      </w:r>
    </w:p>
    <w:p>
      <w:pPr>
        <w:pStyle w:val="BodyText"/>
        <w:rPr/>
      </w:pPr>
      <w:r>
        <w:rPr/>
        <w:t xml:space="preserve">Dans le </w:t>
      </w:r>
      <w:r>
        <w:rPr>
          <w:i/>
          <w:iCs/>
        </w:rPr>
        <w:t>Traité politique</w:t>
      </w:r>
      <w:r>
        <w:rPr/>
        <w:t xml:space="preserve"> et le </w:t>
      </w:r>
      <w:r>
        <w:rPr>
          <w:i/>
          <w:iCs/>
        </w:rPr>
        <w:t>Traité théologico-politique</w:t>
      </w:r>
      <w:r>
        <w:rPr/>
        <w:t xml:space="preserve">, Spinoza approfondit cette articulation entre affect et structure. Il y développe une pensée de la multitude comme sujet politique collectif, non pas unifié par une volonté générale transcendante, mais composé par une dynamique d’accord partiel, d’harmonisation partielle des </w:t>
      </w:r>
      <w:r>
        <w:rPr>
          <w:i/>
          <w:iCs/>
        </w:rPr>
        <w:t>conatus.</w:t>
      </w:r>
      <w:r>
        <w:rPr/>
        <w:t xml:space="preserve"> Il écrit ainsi :</w:t>
      </w:r>
    </w:p>
    <w:p>
      <w:pPr>
        <w:pStyle w:val="BodyText"/>
        <w:rPr/>
      </w:pPr>
      <w:r>
        <w:rPr/>
        <w:t>« Le Droit Naturel de chaque homme se définit donc non par la saine Raison, mais par le désir et la puissance. Tous en effet ne sont pas déterminés naturellement à se comporter suivant les règles et lois de la Raison ; tous au contraire naissent ignorants de toutes choses et, avant qu’ils puissent connaître la vraie règle de vie et acquérir l’état de vertu, la plus grande partie de leur vie s’écoule, même s’ils ont été bien élevés (…). » (</w:t>
      </w:r>
      <w:r>
        <w:rPr>
          <w:i/>
          <w:iCs/>
        </w:rPr>
        <w:t>Tractatus Theologico-Politicus</w:t>
      </w:r>
      <w:r>
        <w:rPr/>
        <w:t>, chap. XVI, §3).</w:t>
      </w:r>
    </w:p>
    <w:p>
      <w:pPr>
        <w:pStyle w:val="BodyText"/>
        <w:rPr/>
      </w:pPr>
      <w:r>
        <w:rPr/>
        <w:t>Toutefois, cette dynamique de co-affectation entre puissances ne saurait être lue de manière naïve ou unanimiste. Spinoza identifie lui-même une limite décisive : tant que les affects restent passifs, ils ne permettent aucune régulation stable, mais alimentent au contraire les formes les plus virulentes de servitude humaine (</w:t>
      </w:r>
      <w:r>
        <w:rPr>
          <w:i/>
          <w:iCs/>
        </w:rPr>
        <w:t>servitus humana</w:t>
      </w:r>
      <w:r>
        <w:rPr/>
        <w:t xml:space="preserve">). Superstition, peur, haine, désir de vengeance — autant de passions tristes qui, selon </w:t>
      </w:r>
      <w:r>
        <w:rPr>
          <w:i/>
          <w:iCs/>
        </w:rPr>
        <w:t>Éthique IV</w:t>
      </w:r>
      <w:r>
        <w:rPr/>
        <w:t>, aliènent les individus et les rendent manipulables. La co-viabilité ne peut donc surgir spontanément des conatus affectés : elle exige une conversion des affects passifs en affects actifs, autrement dit un processus d’autonomisation dans l’agir. Ce point est crucial dans notre lecture archicratique : sans cette transformation qualitative de la puissance, toute configuration affective reste entropique, soumise aux fluctuations émotionnelles et à la fragmentation du corps social. La simple compatibilité affective ne saurait suffire à garantir un agencement durable ni opératoire de régulation.</w:t>
      </w:r>
    </w:p>
    <w:p>
      <w:pPr>
        <w:pStyle w:val="BodyText"/>
        <w:rPr/>
      </w:pPr>
      <w:r>
        <w:rPr/>
        <w:t>La co-viabilité, chez Spinoza, ne se fonde donc ni sur l’obéissance ni sur la verticalité du commandement, mais sur la possibilité pour des individus affectés de manière compatible d’augmenter mutuellement leur puissance. Ce que l’État doit garantir, c’est moins l’ordre que la possibilité de l’affirmation de chacun, dans le cadre d’une composition des puissances. Spinoza fonde ainsi une régulation intuitive, non procédurale, non légale, mais incarnée dans des trajectoires affectives agencées.</w:t>
      </w:r>
    </w:p>
    <w:p>
      <w:pPr>
        <w:pStyle w:val="BodyText"/>
        <w:rPr/>
      </w:pPr>
      <w:r>
        <w:rPr/>
        <w:t>Dans cette optique, les trois pôles du paradigme archicratique apparaissent sous une forme inédite. L’arcalité n’est plus transcendante : elle réside dans la dynamique même du conatus et dans la composition des puissances. La cratialité ne s’exerce pas par contrainte, mais par modulation des affects, transformation des passions passives en actions actives, et compatibilité croissante entre puissances singulières. Quant à l’archicration, elle se donne comme processus fluide d’individuation politique : non une instance instituée, mais la capacité d’un corps social à se composer selon des agencements qui augmentent la puissance commune.</w:t>
      </w:r>
    </w:p>
    <w:p>
      <w:pPr>
        <w:pStyle w:val="BodyText"/>
        <w:rPr/>
      </w:pPr>
      <w:r>
        <w:rPr/>
        <w:t>La force de Spinoza est ici considérable : il libère la régulation des figures autoritaires du commandement et ouvre la voie à une pensée affective, relationnelle et immanente de la co-viabilité. Mais cette force est aussi sa limite. Il ne fournit ni dispositifs stabilisés, ni médiations différenciées, ni architecture explicite permettant de faire durer cette régulation dans des sociétés complexes. Il inspire une archicration intuitive et joyeuse ; il n’en livre pas encore les organes opératoires.</w:t>
      </w:r>
    </w:p>
    <w:p>
      <w:pPr>
        <w:pStyle w:val="Heading3"/>
        <w:numPr>
          <w:ilvl w:val="2"/>
          <w:numId w:val="2"/>
        </w:numPr>
        <w:rPr/>
      </w:pPr>
      <w:r>
        <w:rPr/>
        <w:t xml:space="preserve">3.3.2 — Interdépendance, autocontrainte, configuration : </w:t>
      </w:r>
      <w:r>
        <w:rPr>
          <w:i/>
          <w:iCs/>
        </w:rPr>
        <w:t>une régulation morphogénétique</w:t>
      </w:r>
    </w:p>
    <w:p>
      <w:pPr>
        <w:pStyle w:val="BodyText"/>
        <w:rPr/>
      </w:pPr>
      <w:r>
        <w:rPr/>
        <w:t xml:space="preserve">Parmi les penseurs ayant su dégager les logiques régulatrices sans recourir à un sujet souverain, à une normativité transcendante, ou à une rationalité procédurale a priori, Norbert Elias (1897–1990) se distingue par une approche résolument processuelle, historique, relationnelle du pouvoir et de la régulation. Dans </w:t>
      </w:r>
      <w:r>
        <w:rPr>
          <w:i/>
          <w:iCs/>
        </w:rPr>
        <w:t>Über den Prozeß der Zivilisation</w:t>
      </w:r>
      <w:r>
        <w:rPr/>
        <w:t xml:space="preserve"> (</w:t>
      </w:r>
      <w:r>
        <w:rPr>
          <w:i/>
          <w:iCs/>
        </w:rPr>
        <w:t>La civilisation des mœurs</w:t>
      </w:r>
      <w:r>
        <w:rPr/>
        <w:t xml:space="preserve">, 1939), mais aussi dans </w:t>
      </w:r>
      <w:r>
        <w:rPr>
          <w:i/>
          <w:iCs/>
        </w:rPr>
        <w:t>La Société des individus</w:t>
      </w:r>
      <w:r>
        <w:rPr/>
        <w:t xml:space="preserve"> (1987) et </w:t>
      </w:r>
      <w:r>
        <w:rPr>
          <w:i/>
          <w:iCs/>
        </w:rPr>
        <w:t>La dynamique de l’Occident</w:t>
      </w:r>
      <w:r>
        <w:rPr/>
        <w:t xml:space="preserve"> (1969), Elias opère un double décentrement fondamental : d’une part, il </w:t>
      </w:r>
      <w:r>
        <w:rPr>
          <w:i/>
          <w:iCs/>
        </w:rPr>
        <w:t>dissout l’opposition rigide entre individu et société</w:t>
      </w:r>
      <w:r>
        <w:rPr/>
        <w:t xml:space="preserve"> ; d’autre part, il remplace les structures statiques du pouvoir par des </w:t>
      </w:r>
      <w:r>
        <w:rPr>
          <w:i/>
          <w:iCs/>
        </w:rPr>
        <w:t>configurations mouvantes d’interdépendance</w:t>
      </w:r>
      <w:r>
        <w:rPr/>
        <w:t>. C’est cette substitution, d’un modèle ontologique par un modèle dynamique et morphogénétique, qui fait de sa pensée un jalon déterminant vers l’intelligibilité archicratique.</w:t>
      </w:r>
    </w:p>
    <w:p>
      <w:pPr>
        <w:pStyle w:val="BodyText"/>
        <w:rPr/>
      </w:pPr>
      <w:r>
        <w:rPr/>
        <w:t>La notion centrale de configuration désigne un ensemble structuré de relations interdépendantes, dans lequel les positions et les comportements de chaque acteur ne prennent sens que relativement aux autres. Elias invite ainsi à penser les individus comme pris dans des chaînes mouvantes d’interdépendance, plutôt que comme des unités isolées.</w:t>
      </w:r>
    </w:p>
    <w:p>
      <w:pPr>
        <w:pStyle w:val="BodyText"/>
        <w:rPr/>
      </w:pPr>
      <w:r>
        <w:rPr/>
        <w:t xml:space="preserve">La régulation, dans cette perspective, n’est pas imposition verticale, mais </w:t>
      </w:r>
      <w:r>
        <w:rPr>
          <w:i/>
          <w:iCs/>
        </w:rPr>
        <w:t>résultat de tensions différenciées et d’ajustements progressifs entre agents sociaux interdépendants</w:t>
      </w:r>
      <w:r>
        <w:rPr/>
        <w:t>. Dans cette perspective, le pouvoir ne réside pas dans une substance détenue par les individus, mais dans la configuration relationnelle elle-même.</w:t>
      </w:r>
    </w:p>
    <w:p>
      <w:pPr>
        <w:pStyle w:val="BodyText"/>
        <w:rPr/>
      </w:pPr>
      <w:r>
        <w:rPr/>
        <w:t>C’est dans ce cadre qu’Elias développe son concept clef d’</w:t>
      </w:r>
      <w:r>
        <w:rPr>
          <w:i/>
          <w:iCs/>
        </w:rPr>
        <w:t>auto-compulsion</w:t>
      </w:r>
      <w:r>
        <w:rPr/>
        <w:t xml:space="preserve"> (</w:t>
      </w:r>
      <w:r>
        <w:rPr>
          <w:i/>
          <w:iCs/>
        </w:rPr>
        <w:t>Selbstzwang</w:t>
      </w:r>
      <w:r>
        <w:rPr/>
        <w:t xml:space="preserve">) — mécanisme central du processus de civilisation. Là où la régulation s’opérait auparavant par contrainte extérieure, sous forme de surveillance ou de coercition directe, la modernité progressive instaure un </w:t>
      </w:r>
      <w:r>
        <w:rPr>
          <w:i/>
          <w:iCs/>
        </w:rPr>
        <w:t>régime d’intériorisation des normes, des conduites et des seuils de tolérance pulsionnelle</w:t>
      </w:r>
      <w:r>
        <w:rPr/>
        <w:t xml:space="preserve"> : </w:t>
      </w:r>
      <w:r>
        <w:rPr>
          <w:i/>
          <w:iCs/>
        </w:rPr>
        <w:t>le contrôle social devient un contrôle de soi</w:t>
      </w:r>
      <w:r>
        <w:rPr/>
        <w:t>. Cette intériorisation n’est pas spontanée, ni même simplement morale, mais elle est le produit d’une morphogenèse historique lente, issue de la complexification des chaînes d’interdépendance, notamment dans les sphères curiales, bourgeoises, puis étatiques.</w:t>
      </w:r>
    </w:p>
    <w:p>
      <w:pPr>
        <w:pStyle w:val="BodyText"/>
        <w:rPr/>
      </w:pPr>
      <w:r>
        <w:rPr/>
        <w:t xml:space="preserve">Autrement dit, l’histoire des sociétés n’est pas celle d’un progrès moral, mais celle d’un déplacement du régime régulateur : de la </w:t>
      </w:r>
      <w:r>
        <w:rPr>
          <w:i/>
          <w:iCs/>
        </w:rPr>
        <w:t>cratialité</w:t>
      </w:r>
      <w:r>
        <w:rPr/>
        <w:t xml:space="preserve"> externe (punitive, spectaculaire, visible) vers une </w:t>
      </w:r>
      <w:r>
        <w:rPr>
          <w:i/>
          <w:iCs/>
        </w:rPr>
        <w:t>cratialité intériorisée</w:t>
      </w:r>
      <w:r>
        <w:rPr/>
        <w:t>, intéroceptive, incorporée dans les habitudes, les comportements, les schèmes de perception et d’émotion. Le processus de civilisation s’accompagne d’une intériorisation croissante des contraintes, qui convertit progressivement la contrainte extérieure en autocontrainte incorporée.</w:t>
      </w:r>
    </w:p>
    <w:p>
      <w:pPr>
        <w:pStyle w:val="BodyText"/>
        <w:rPr/>
      </w:pPr>
      <w:r>
        <w:rPr/>
        <w:t>Un point mérite toutefois d’être isolé pour sa portée paradigmatique : la fiscalité, ou plus largement l’imposition au double sens du terme. Chez Elias, la consolidation des appareils d’État modernes s’accompagne d’une concentration fiscale qui fait apparaître une forme embryonnaire de régulation archicratique : contrainte codifiée, symboliquement intériorisée, acceptée ou refusée selon les seuils de légitimation affective du pouvoir. L’impôt devient ainsi un test de co-viabilité, révélant la capacité d’un régime à transformer la prédation en contribution et la domination en intégration.</w:t>
      </w:r>
    </w:p>
    <w:p>
      <w:pPr>
        <w:pStyle w:val="BodyText"/>
        <w:rPr/>
      </w:pPr>
      <w:r>
        <w:rPr/>
        <w:t>Cette lecture gagne en clarté lorsqu’on la met en tension avec Bourdieu. Là où Elias pense surtout des chaînes d’interdépendance et des morphogenèses relationnelles, Bourdieu formalise davantage les différenciations de positions, de capitaux et de dominations. D’un point de vue archicratique, Elias éclaire remarquablement la genèse lente de l’auto-régulation incorporée ; mais il ne propose ni médiations entre sphères, ni codification des écarts de puissance, ni dispositifs d’ajustement réellement modulaires. Sa pensée demeure décisive pour comprendre la co-formation du social et du psychique, mais elle reste faible dès qu’il s’agit de formaliser une régulation stratifiée, testable et interopérable.</w:t>
      </w:r>
    </w:p>
    <w:p>
      <w:pPr>
        <w:pStyle w:val="Heading3"/>
        <w:numPr>
          <w:ilvl w:val="2"/>
          <w:numId w:val="2"/>
        </w:numPr>
        <w:rPr/>
      </w:pPr>
      <w:r>
        <w:rPr/>
        <w:t xml:space="preserve">3.3.3 — Transduction, individuation, tension : </w:t>
      </w:r>
      <w:r>
        <w:rPr>
          <w:i/>
          <w:iCs/>
        </w:rPr>
        <w:t>une régulation potentielle</w:t>
      </w:r>
    </w:p>
    <w:p>
      <w:pPr>
        <w:pStyle w:val="BodyText"/>
        <w:rPr/>
      </w:pPr>
      <w:r>
        <w:rPr/>
        <w:t>Il n’est pas exagéré d’affirmer que Gilbert Simondon (1924–1989) constitue l’un des penseurs les moins invoqués et pourtant parmi les plus importants pour toute tentative de refondation du politique, du technique, du vivant, et — par extension — du régulateur. En faisant de l’</w:t>
      </w:r>
      <w:r>
        <w:rPr>
          <w:i/>
          <w:iCs/>
        </w:rPr>
        <w:t>individuation</w:t>
      </w:r>
      <w:r>
        <w:rPr/>
        <w:t xml:space="preserve"> le processus premier et de la </w:t>
      </w:r>
      <w:r>
        <w:rPr>
          <w:i/>
          <w:iCs/>
        </w:rPr>
        <w:t>transduction</w:t>
      </w:r>
      <w:r>
        <w:rPr/>
        <w:t xml:space="preserve"> le moteur même de la réalité, Simondon ne propose pas une philosophie parmi d’autres, mais une </w:t>
      </w:r>
      <w:r>
        <w:rPr>
          <w:i/>
          <w:iCs/>
        </w:rPr>
        <w:t>métaphysique opératoire</w:t>
      </w:r>
      <w:r>
        <w:rPr/>
        <w:t xml:space="preserve"> de la consistance, du devenir et de la modulation. Dès lors, toute théorie de la régulation qui ne se contente pas d’ordonner des états donnés, mais qui s’efforce de penser la co-viabilité comme processus tensionnel en perpétuelle reconfiguration, ne peut éviter la confrontation à ce qui, chez Simondon, fait </w:t>
      </w:r>
      <w:r>
        <w:rPr>
          <w:i/>
          <w:iCs/>
        </w:rPr>
        <w:t>krateîn</w:t>
      </w:r>
      <w:r>
        <w:rPr/>
        <w:t xml:space="preserve"> sans figure, </w:t>
      </w:r>
      <w:r>
        <w:rPr>
          <w:i/>
          <w:iCs/>
        </w:rPr>
        <w:t>arkhè sans instance</w:t>
      </w:r>
      <w:r>
        <w:rPr/>
        <w:t xml:space="preserve">, c’est-à-dire : </w:t>
      </w:r>
      <w:r>
        <w:rPr>
          <w:i/>
          <w:iCs/>
        </w:rPr>
        <w:t>force d’émergence structurante sans origine assignable</w:t>
      </w:r>
      <w:r>
        <w:rPr/>
        <w:t>.</w:t>
      </w:r>
    </w:p>
    <w:p>
      <w:pPr>
        <w:pStyle w:val="BodyText"/>
        <w:rPr/>
      </w:pPr>
      <w:r>
        <w:rPr/>
        <w:t xml:space="preserve">Dès </w:t>
      </w:r>
      <w:r>
        <w:rPr>
          <w:i/>
          <w:iCs/>
        </w:rPr>
        <w:t>L’individu et sa genèse physico-biologique</w:t>
      </w:r>
      <w:r>
        <w:rPr/>
        <w:t xml:space="preserve"> (1958) puis </w:t>
      </w:r>
      <w:r>
        <w:rPr>
          <w:i/>
          <w:iCs/>
        </w:rPr>
        <w:t>L’individuation à la lumière des notions de forme et d’information</w:t>
      </w:r>
      <w:r>
        <w:rPr/>
        <w:t xml:space="preserve"> (1958–1964), Simondon réfute radicalement le substantialisme ontologique autant que le dualisme classique : il n’y a ni sujet préexistant, ni structure close, mais une tension permanente entre un </w:t>
      </w:r>
      <w:r>
        <w:rPr>
          <w:i/>
          <w:iCs/>
        </w:rPr>
        <w:t>pré-individuel</w:t>
      </w:r>
      <w:r>
        <w:rPr/>
        <w:t xml:space="preserve"> (champ de potentiels métastables) et un </w:t>
      </w:r>
      <w:r>
        <w:rPr>
          <w:i/>
          <w:iCs/>
        </w:rPr>
        <w:t>individu</w:t>
      </w:r>
      <w:r>
        <w:rPr/>
        <w:t xml:space="preserve"> (résultat provisoire de résolutions partielles de tensions). Cette tension est résolue — localement, temporairement — par un processus de </w:t>
      </w:r>
      <w:r>
        <w:rPr>
          <w:i/>
          <w:iCs/>
        </w:rPr>
        <w:t>transduction</w:t>
      </w:r>
      <w:r>
        <w:rPr/>
        <w:t>, c’est-à-dire d’</w:t>
      </w:r>
      <w:r>
        <w:rPr>
          <w:i/>
          <w:iCs/>
        </w:rPr>
        <w:t>opération durant laquelle une</w:t>
      </w:r>
      <w:r>
        <w:rPr/>
        <w:t xml:space="preserve"> </w:t>
      </w:r>
      <w:r>
        <w:rPr>
          <w:i/>
          <w:iCs/>
        </w:rPr>
        <w:t>structure se constitue au fil même du passage d’une activité régulatrice, par propagation d’un changement qui module progressivement les conditions du champ</w:t>
      </w:r>
      <w:r>
        <w:rPr/>
        <w:t>.</w:t>
      </w:r>
    </w:p>
    <w:p>
      <w:pPr>
        <w:pStyle w:val="BodyText"/>
        <w:rPr/>
      </w:pPr>
      <w:r>
        <w:rPr/>
        <w:t xml:space="preserve">Or, cette pensée de la transduction constitue un apport majeur pour notre paradigme archicratique. Car ce que Simondon rend pensable, c’est une régulation </w:t>
      </w:r>
      <w:r>
        <w:rPr>
          <w:i/>
          <w:iCs/>
        </w:rPr>
        <w:t>sans plan préalable</w:t>
      </w:r>
      <w:r>
        <w:rPr/>
        <w:t xml:space="preserve">, </w:t>
      </w:r>
      <w:r>
        <w:rPr>
          <w:i/>
          <w:iCs/>
        </w:rPr>
        <w:t>sans transcendance organisatrice</w:t>
      </w:r>
      <w:r>
        <w:rPr/>
        <w:t xml:space="preserve">, mais </w:t>
      </w:r>
      <w:r>
        <w:rPr>
          <w:i/>
          <w:iCs/>
        </w:rPr>
        <w:t>sans anarchie chaotique</w:t>
      </w:r>
      <w:r>
        <w:rPr/>
        <w:t xml:space="preserve"> non plus : une régulation </w:t>
      </w:r>
      <w:r>
        <w:rPr>
          <w:i/>
          <w:iCs/>
        </w:rPr>
        <w:t>processuelle, immanente, opératoire</w:t>
      </w:r>
      <w:r>
        <w:rPr/>
        <w:t xml:space="preserve">, qui émerge du couplage dynamique entre un milieu et une singularité en individuation. La structure n’est pas imposée, elle </w:t>
      </w:r>
      <w:r>
        <w:rPr>
          <w:i/>
          <w:iCs/>
        </w:rPr>
        <w:t>advient par propagation d’une cohérence locale</w:t>
      </w:r>
      <w:r>
        <w:rPr/>
        <w:t xml:space="preserve">, par résolution successive de déséquilibres, selon un </w:t>
      </w:r>
      <w:r>
        <w:rPr>
          <w:i/>
          <w:iCs/>
        </w:rPr>
        <w:t>gradient de métastabilité</w:t>
      </w:r>
      <w:r>
        <w:rPr/>
        <w:t xml:space="preserve">. Le régulateur n’est pas transcendant, mais ni purement fonctionnel, ni simplement systémique : il est </w:t>
      </w:r>
      <w:r>
        <w:rPr>
          <w:i/>
          <w:iCs/>
        </w:rPr>
        <w:t>mise en résolution de tension</w:t>
      </w:r>
      <w:r>
        <w:rPr/>
        <w:t xml:space="preserve">, de </w:t>
      </w:r>
      <w:r>
        <w:rPr>
          <w:i/>
          <w:iCs/>
        </w:rPr>
        <w:t>phase</w:t>
      </w:r>
      <w:r>
        <w:rPr/>
        <w:t xml:space="preserve">, </w:t>
      </w:r>
      <w:r>
        <w:rPr>
          <w:i/>
          <w:iCs/>
        </w:rPr>
        <w:t>d’intensité</w:t>
      </w:r>
      <w:r>
        <w:rPr/>
        <w:t>.</w:t>
      </w:r>
    </w:p>
    <w:p>
      <w:pPr>
        <w:pStyle w:val="BodyText"/>
        <w:rPr/>
      </w:pPr>
      <w:r>
        <w:rPr/>
        <w:t xml:space="preserve">C’est dans ce cadre que s’esquisse la figure d’une </w:t>
      </w:r>
      <w:r>
        <w:rPr>
          <w:i/>
          <w:iCs/>
        </w:rPr>
        <w:t>archicration potentielle</w:t>
      </w:r>
      <w:r>
        <w:rPr/>
        <w:t xml:space="preserve"> : non pas une instance souveraine, mais une </w:t>
      </w:r>
      <w:r>
        <w:rPr>
          <w:i/>
          <w:iCs/>
        </w:rPr>
        <w:t>potentialité organisée par propagation d’opérativité</w:t>
      </w:r>
      <w:r>
        <w:rPr/>
        <w:t xml:space="preserve">, où l’arkhè n’est pas un commencement mais une </w:t>
      </w:r>
      <w:r>
        <w:rPr>
          <w:i/>
          <w:iCs/>
        </w:rPr>
        <w:t>condition d’émergence</w:t>
      </w:r>
      <w:r>
        <w:rPr/>
        <w:t xml:space="preserve">, et où le kratos n’est pas une puissance d’imposition mais une </w:t>
      </w:r>
      <w:r>
        <w:rPr>
          <w:i/>
          <w:iCs/>
        </w:rPr>
        <w:t>force de cohérence progressive</w:t>
      </w:r>
      <w:r>
        <w:rPr/>
        <w:t xml:space="preserve">. La régulation n’est ni hétéronome, ni normative, ni contractuelle : elle est </w:t>
      </w:r>
      <w:r>
        <w:rPr>
          <w:i/>
          <w:iCs/>
        </w:rPr>
        <w:t>ontogénétique</w:t>
      </w:r>
      <w:r>
        <w:rPr/>
        <w:t xml:space="preserve">. Elle s’écrit dans le tissu même du devenir, à travers des tensions orientées qui structurent </w:t>
      </w:r>
      <w:r>
        <w:rPr>
          <w:i/>
          <w:iCs/>
        </w:rPr>
        <w:t>par ajustement différentiel</w:t>
      </w:r>
      <w:r>
        <w:rPr/>
        <w:t xml:space="preserve"> ce qui advient à mesure qu’il s’individue.</w:t>
      </w:r>
    </w:p>
    <w:p>
      <w:pPr>
        <w:pStyle w:val="BodyText"/>
        <w:rPr/>
      </w:pPr>
      <w:r>
        <w:rPr/>
        <w:t>Penser la co-viabilité à la lumière de Simondon, c’est refuser aussi bien l’extériorité fondatrice que la dissolution relativiste des formes. La transduction rend pensable une régulation sans plan préalable, mais sans chaos : une mise en résolution de tensions au sein d’un champ métastable, par propagation d’opérativité. Avec le milieu associé et la concrétisation technique, Simondon fournit ainsi un modèle puissant de structuration immanente, dans lequel l’ordre n’est pas imposé, mais émerge d’un ajustement progressif entre potentiels incompatibles.</w:t>
      </w:r>
    </w:p>
    <w:p>
      <w:pPr>
        <w:pStyle w:val="BodyText"/>
        <w:rPr/>
      </w:pPr>
      <w:r>
        <w:rPr/>
        <w:t>C’est là un apport majeur pour l’Archicratie : la régulation n’est plus un donné politique, mais une forme du devenir. Mais cette fécondité demeure inachevée. Simondon ne formalise ni les passages d’échelle, ni les médiations différenciées nécessaires à la coordination de sphères hétérogènes, ni les dispositifs politiques permettant de rendre cette régulation partageable, révisable et stabilisable dans des sociétés complexes. Il nous donne une ontogénétique de l’archicration potentielle ; il ne nous en livre pas encore l’architecture opératoire.</w:t>
      </w:r>
    </w:p>
    <w:p>
      <w:pPr>
        <w:pStyle w:val="Heading3"/>
        <w:numPr>
          <w:ilvl w:val="2"/>
          <w:numId w:val="2"/>
        </w:numPr>
        <w:rPr/>
      </w:pPr>
      <w:r>
        <w:rPr/>
        <w:t xml:space="preserve">3.3.4 — Pluralité, natalité, action : </w:t>
      </w:r>
      <w:r>
        <w:rPr>
          <w:i/>
          <w:iCs/>
        </w:rPr>
        <w:t>une régulation par émergence</w:t>
      </w:r>
    </w:p>
    <w:p>
      <w:pPr>
        <w:pStyle w:val="BodyText"/>
        <w:rPr/>
      </w:pPr>
      <w:r>
        <w:rPr/>
        <w:t xml:space="preserve">Il est rare qu’une œuvre aussi intensément politique soit, dans son fondement, aussi peu tournée vers l’institution, la structure, ou la souveraineté. Hannah Arendt (1906–1975), dans </w:t>
      </w:r>
      <w:r>
        <w:rPr>
          <w:i/>
          <w:iCs/>
        </w:rPr>
        <w:t>La Condition de l’homme moderne</w:t>
      </w:r>
      <w:r>
        <w:rPr/>
        <w:t xml:space="preserve"> (1961), ou encore </w:t>
      </w:r>
      <w:r>
        <w:rPr>
          <w:i/>
          <w:iCs/>
        </w:rPr>
        <w:t>Essai sur la Révolution</w:t>
      </w:r>
      <w:r>
        <w:rPr/>
        <w:t xml:space="preserve"> (1967), engage un renversement aussi décisif que discret : elle ne cherche pas à fonder le pouvoir, mais à comprendre l’espace dans lequel il peut apparaître — non comme imposition mais comme </w:t>
      </w:r>
      <w:r>
        <w:rPr>
          <w:i/>
          <w:iCs/>
        </w:rPr>
        <w:t>co-présence</w:t>
      </w:r>
      <w:r>
        <w:rPr/>
        <w:t xml:space="preserve">. Il ne s’agit donc pas, chez elle, de penser le politique comme structure régulatrice, ni même comme mode de gouvernement, mais comme </w:t>
      </w:r>
      <w:r>
        <w:rPr>
          <w:i/>
          <w:iCs/>
        </w:rPr>
        <w:t>condition d’apparition</w:t>
      </w:r>
      <w:r>
        <w:rPr/>
        <w:t xml:space="preserve"> d’un monde commun, au sein d’une pluralité irréductible.</w:t>
      </w:r>
    </w:p>
    <w:p>
      <w:pPr>
        <w:pStyle w:val="BodyText"/>
        <w:rPr/>
      </w:pPr>
      <w:r>
        <w:rPr/>
        <w:t xml:space="preserve">Le concept fondamental de </w:t>
      </w:r>
      <w:r>
        <w:rPr>
          <w:i/>
          <w:iCs/>
        </w:rPr>
        <w:t>natalité</w:t>
      </w:r>
      <w:r>
        <w:rPr/>
        <w:t xml:space="preserve"> constitue à cet égard le cœur irradiant de sa philosophie politique. Ce n’est pas la mort, mais la naissance, qui inaugure le politique. La capacité de commencer, d’initier, d’apparaître au monde dans une irréductible singularité — telle est, pour Arendt, l’essence de l’action politique. Cette action, par nature </w:t>
      </w:r>
      <w:r>
        <w:rPr>
          <w:i/>
          <w:iCs/>
        </w:rPr>
        <w:t>imprévisible</w:t>
      </w:r>
      <w:r>
        <w:rPr/>
        <w:t xml:space="preserve">, </w:t>
      </w:r>
      <w:r>
        <w:rPr>
          <w:i/>
          <w:iCs/>
        </w:rPr>
        <w:t>irréversible</w:t>
      </w:r>
      <w:r>
        <w:rPr/>
        <w:t xml:space="preserve">, </w:t>
      </w:r>
      <w:r>
        <w:rPr>
          <w:i/>
          <w:iCs/>
        </w:rPr>
        <w:t>fragile</w:t>
      </w:r>
      <w:r>
        <w:rPr/>
        <w:t xml:space="preserve">, ne répond à aucun programme, à aucun plan, à aucun ordre transcendant. Elle ne se déploie que dans l’espace partagé qu’ouvrent ceux qui agissent ensemble, à la première personne du pluriel. Dès lors, toute régulation viable, chez Arendt, ne peut procéder ni d’un surplomb normatif, ni d’une procédure formelle, ni d’un appareil coercitif : elle émerge, ou n’émerge pas, de l’interaction concrète, située, incarnée entre individus. Elle est fondamentalement </w:t>
      </w:r>
      <w:r>
        <w:rPr>
          <w:i/>
          <w:iCs/>
        </w:rPr>
        <w:t>relationnelle</w:t>
      </w:r>
      <w:r>
        <w:rPr/>
        <w:t>.</w:t>
      </w:r>
    </w:p>
    <w:p>
      <w:pPr>
        <w:pStyle w:val="BodyText"/>
        <w:rPr/>
      </w:pPr>
      <w:r>
        <w:rPr/>
        <w:t xml:space="preserve">Cette pensée de l’action, qui se tient résolument à distance des schèmes de domination, de souveraineté ou de hiérarchie, suppose un autre imaginaire du pouvoir. Arendt ne pense pas en termes de </w:t>
      </w:r>
      <w:r>
        <w:rPr>
          <w:i/>
          <w:iCs/>
        </w:rPr>
        <w:t>kratos</w:t>
      </w:r>
      <w:r>
        <w:rPr/>
        <w:t>, mais d’</w:t>
      </w:r>
      <w:r>
        <w:rPr>
          <w:i/>
          <w:iCs/>
        </w:rPr>
        <w:t>arkhè sans autorité</w:t>
      </w:r>
      <w:r>
        <w:rPr/>
        <w:t xml:space="preserve"> : un commencement toujours fragile, jamais garanti, toujours à réitérer. L’espace politique n’est pas pour elle l’infrastructure institutionnelle d’un État, mais </w:t>
      </w:r>
      <w:r>
        <w:rPr>
          <w:i/>
          <w:iCs/>
        </w:rPr>
        <w:t>le théâtre de l’apparition</w:t>
      </w:r>
      <w:r>
        <w:rPr/>
        <w:t xml:space="preserve"> — un lieu où les êtres humains se montrent, se parlent, se reconnaissent. Le pouvoir ne s’impose pas, il surgit lorsque les individus, par leur parole, engagent un monde commun. Comme elle l’écrit :</w:t>
      </w:r>
    </w:p>
    <w:p>
      <w:pPr>
        <w:pStyle w:val="BodyText"/>
        <w:rPr/>
      </w:pPr>
      <w:r>
        <w:rPr/>
        <w:t>« L’espace de l’apparaître commence à exister dès que les hommes s’assemblent sur le mode de la parole et de l’action ; il précède par conséquent toute constitution du domaine public et des formes de gouvernement, c’est-à-dire les diverses formes sous lesquelles le domaine public peut s’organiser. Il a ceci de particulier qu’à la différence des espaces qui sont l’œuvre de nos mains, il ne survit pas à l’actualité du mouvement qui l’a vu naître : il disparaît non seulement à la dispersion des hommes — comme dans le cas des catastrophes qui ruinent l’organisation politique d’un peuple —, mais aussi au moment de la disparition ou de l’arrêt des activités elles-mêmes » (</w:t>
      </w:r>
      <w:r>
        <w:rPr>
          <w:i/>
          <w:iCs/>
        </w:rPr>
        <w:t>La Condition de l’homme moderne</w:t>
      </w:r>
      <w:r>
        <w:rPr/>
        <w:t>, Calmann-Lévy, 1961, p. 258).</w:t>
      </w:r>
    </w:p>
    <w:p>
      <w:pPr>
        <w:pStyle w:val="BodyText"/>
        <w:rPr/>
      </w:pPr>
      <w:r>
        <w:rPr/>
        <w:t xml:space="preserve">Dans cette perspective, la régulation ne peut être pensée comme codification, norme, ou dispositif, mais comme </w:t>
      </w:r>
      <w:r>
        <w:rPr>
          <w:i/>
          <w:iCs/>
        </w:rPr>
        <w:t>promesse</w:t>
      </w:r>
      <w:r>
        <w:rPr/>
        <w:t xml:space="preserve"> — engagement dans la durée d’un lien mutuel entre êtres parlants. C’est pour cette raison qu’Arendt mobilise les deux concepts-clés de </w:t>
      </w:r>
      <w:r>
        <w:rPr>
          <w:i/>
          <w:iCs/>
        </w:rPr>
        <w:t>pardon</w:t>
      </w:r>
      <w:r>
        <w:rPr/>
        <w:t xml:space="preserve"> et de </w:t>
      </w:r>
      <w:r>
        <w:rPr>
          <w:i/>
          <w:iCs/>
        </w:rPr>
        <w:t>promesse</w:t>
      </w:r>
      <w:r>
        <w:rPr/>
        <w:t xml:space="preserve"> : le premier permet de dépasser l’irréversibilité de l’action passée, le second de stabiliser une attente partagée dans un avenir incertain. Elle écrit ainsi :</w:t>
      </w:r>
    </w:p>
    <w:p>
      <w:pPr>
        <w:pStyle w:val="BodyText"/>
        <w:rPr/>
      </w:pPr>
      <w:r>
        <w:rPr/>
        <w:t>« Contre l’imprévisibilité et la chaotique incertitude de l’avenir, le remède se trouve dans la faculté de faire et de tenir des promesses » (</w:t>
      </w:r>
      <w:r>
        <w:rPr>
          <w:i/>
          <w:iCs/>
        </w:rPr>
        <w:t>La Condition de l’homme moderne</w:t>
      </w:r>
      <w:r>
        <w:rPr/>
        <w:t>, Calmann-Lévy, 1961, p. 297).</w:t>
      </w:r>
    </w:p>
    <w:p>
      <w:pPr>
        <w:pStyle w:val="BodyText"/>
        <w:rPr/>
      </w:pPr>
      <w:r>
        <w:rPr/>
        <w:t xml:space="preserve">Cette promesse constitue pour elle une </w:t>
      </w:r>
      <w:r>
        <w:rPr>
          <w:i/>
          <w:iCs/>
        </w:rPr>
        <w:t>régulation faible</w:t>
      </w:r>
      <w:r>
        <w:rPr/>
        <w:t>, sans violence, sans hiérarchie, sans procédure : elle repose sur la confiance, la parole, l’engagement mutuel.</w:t>
      </w:r>
    </w:p>
    <w:p>
      <w:pPr>
        <w:pStyle w:val="BodyText"/>
        <w:rPr/>
      </w:pPr>
      <w:r>
        <w:rPr/>
        <w:t xml:space="preserve">Mais cette faiblesse est à double tranchant. Car si la promesse stabilise dans le petit nombre, elle devient inopérante à mesure que s’étendent les sphères d’interdépendance. Arendt ne pense pas la régulation au-delà de la proximité. Son espace politique est celui de la </w:t>
      </w:r>
      <w:r>
        <w:rPr>
          <w:i/>
          <w:iCs/>
        </w:rPr>
        <w:t>polis</w:t>
      </w:r>
      <w:r>
        <w:rPr/>
        <w:t xml:space="preserve"> grecque, non de la </w:t>
      </w:r>
      <w:r>
        <w:rPr>
          <w:i/>
          <w:iCs/>
        </w:rPr>
        <w:t>technosphère globale</w:t>
      </w:r>
      <w:r>
        <w:rPr/>
        <w:t>. Or, dans une société stratifiée, complexe, hétérogène, interconnectée à des échelles multiples — économique, technique, écologique, symbolique — la parole ne suffit pas. Elle ne se transmet pas sans médium, elle ne se stabilise pas sans relais. La régulation devient, dès lors, inopérante si elle repose uniquement sur l’apparition partagée et le lien éthique.</w:t>
      </w:r>
    </w:p>
    <w:p>
      <w:pPr>
        <w:pStyle w:val="BodyText"/>
        <w:rPr/>
      </w:pPr>
      <w:r>
        <w:rPr/>
        <w:t>C’est ici que la pensée arendtienne rencontre sa limite du point de vue archicratique. Sa puissance est considérable : elle repense le politique à partir de la pluralité, de la natalité, de l’apparition et de la promesse, et refuse de réduire le pouvoir à la domination ou à la souveraineté. Elle offre ainsi un sol ontologique précieux à toute pensée de la co-viabilité comme surgissement d’un monde commun.</w:t>
      </w:r>
    </w:p>
    <w:p>
      <w:pPr>
        <w:pStyle w:val="BodyText"/>
        <w:rPr/>
      </w:pPr>
      <w:r>
        <w:rPr/>
        <w:t>Mais cette même puissance se heurte à une difficulté majeure : Arendt pense l’inauguration, non la stabilisation ; elle pense l’arcalité, non la cratialité modulante ; elle valorise l’apparition, mais refuse presque toujours les médiations, les dispositifs et les architectures qui permettraient à cette apparition de durer dans des sociétés complexes. Elle ouvre un espace archicratique ; elle n’en formalise pas encore les conditions de viabilité durable.</w:t>
      </w:r>
    </w:p>
    <w:p>
      <w:pPr>
        <w:pStyle w:val="BodyText"/>
        <w:rPr/>
      </w:pPr>
      <w:r>
        <w:rPr/>
        <w:t>Ce n’est qu’en tenant ensemble l’</w:t>
      </w:r>
      <w:r>
        <w:rPr>
          <w:i/>
          <w:iCs/>
        </w:rPr>
        <w:t>inauguration</w:t>
      </w:r>
      <w:r>
        <w:rPr/>
        <w:t xml:space="preserve"> et la </w:t>
      </w:r>
      <w:r>
        <w:rPr>
          <w:i/>
          <w:iCs/>
        </w:rPr>
        <w:t>modulation</w:t>
      </w:r>
      <w:r>
        <w:rPr/>
        <w:t>, l’</w:t>
      </w:r>
      <w:r>
        <w:rPr>
          <w:i/>
          <w:iCs/>
        </w:rPr>
        <w:t>apparition</w:t>
      </w:r>
      <w:r>
        <w:rPr/>
        <w:t xml:space="preserve"> et la </w:t>
      </w:r>
      <w:r>
        <w:rPr>
          <w:i/>
          <w:iCs/>
        </w:rPr>
        <w:t>médiation</w:t>
      </w:r>
      <w:r>
        <w:rPr/>
        <w:t xml:space="preserve">, la </w:t>
      </w:r>
      <w:r>
        <w:rPr>
          <w:i/>
          <w:iCs/>
        </w:rPr>
        <w:t>natalité</w:t>
      </w:r>
      <w:r>
        <w:rPr/>
        <w:t xml:space="preserve"> et la </w:t>
      </w:r>
      <w:r>
        <w:rPr>
          <w:i/>
          <w:iCs/>
        </w:rPr>
        <w:t>viabilité</w:t>
      </w:r>
      <w:r>
        <w:rPr/>
        <w:t>, que peut s’esquisser une régulation archicratique digne de la complexité du monde contemporain.</w:t>
      </w:r>
    </w:p>
    <w:p>
      <w:pPr>
        <w:pStyle w:val="BodyText"/>
        <w:rPr/>
      </w:pPr>
      <w:r>
        <w:rPr/>
        <w:t>Ce parcours à travers Spinoza, Elias, Simondon et Arendt n’avait pas pour but de les aligner dans une synthèse artificielle, mais de cartographier, dans leur singularité irréductible, les seuils à partir desquels la régulation devient pensable comme processus de subjectivation, de configuration, d’individuation ou d’apparition. Tous, à leur manière, déplacent la régulation hors de la souveraineté, du formalisme procédural ou de la simple capture structurelle. Tous rendent possible une pensée du commun à partir de la dynamique des affects, des interdépendances, des tensions ou de la pluralité.</w:t>
      </w:r>
    </w:p>
    <w:p>
      <w:pPr>
        <w:pStyle w:val="BodyText"/>
        <w:rPr/>
      </w:pPr>
      <w:r>
        <w:rPr/>
        <w:t>Mais aucun ne parvient, à lui seul, à articuler l’ensemble des exigences du paradigme archicratique : une viabilité modulée, une opérativité différenciée, une structuration sans totalisation, une épreuve sans domination. Spinoza pense l’immanence sans l’architecture ; Elias, la morphogenèse sans dispositifs ; Simondon, la transduction sans formalisation politique ; Arendt, l’apparition sans stabilisation médiée. Leur croisement ne produit donc pas une doctrine, mais une cartographie de puissances inachevées à partir desquelles l’Archicratie peut devenir pensable comme forme générative de la régulation.</w:t>
      </w:r>
    </w:p>
    <w:p>
      <w:pPr>
        <w:pStyle w:val="BodyText"/>
        <w:rPr/>
      </w:pPr>
      <w:r>
        <w:rPr/>
        <w:t>C’est depuis ce seuil que s’ouvre la section suivante. Après les régimes de la subjectivation émergente, il faudra désormais interroger les régimes dialogiques de la justification : non plus seulement comment des formes de vie se composent, mais comment elles se rendent mutuellement recevables, justifiables et confrontables dans un espace commun de légitimation.</w:t>
      </w:r>
    </w:p>
    <w:p>
      <w:pPr>
        <w:pStyle w:val="Heading2"/>
        <w:numPr>
          <w:ilvl w:val="1"/>
          <w:numId w:val="2"/>
        </w:numPr>
        <w:rPr/>
      </w:pPr>
      <w:r>
        <w:rPr>
          <w:b/>
          <w:bCs/>
        </w:rPr>
        <w:t>3.4 — Régimes dialogiques de la justification —</w:t>
      </w:r>
      <w:r>
        <w:rPr/>
        <w:t xml:space="preserve"> </w:t>
      </w:r>
      <w:r>
        <w:rPr>
          <w:i/>
          <w:iCs/>
        </w:rPr>
        <w:t>puissance distribuée</w:t>
      </w:r>
    </w:p>
    <w:p>
      <w:pPr>
        <w:pStyle w:val="BodyText"/>
        <w:rPr/>
      </w:pPr>
      <w:r>
        <w:rPr/>
        <w:t>À ce stade de notre exploration des régimes de régulation, un seuil se franchit. Après les architectures fondationnelles du politique, les régulations silencieuses ou incorporées, puis les philosophies de l’émergence subjective et transductive, la présente section aborde un autre régime : celui où la régulation se configure comme travail dialogique de justification, d’épreuve, d’ajustement et de légitimation partagée. Il ne s’agit plus de penser l’ordre depuis une source souveraine, ni depuis une structure diffuse, ni depuis la seule dynamique des affects ou de l’apparition, mais depuis des scènes où les positions doivent se rendre mutuellement recevables, justifiables et confrontables.</w:t>
      </w:r>
    </w:p>
    <w:p>
      <w:pPr>
        <w:pStyle w:val="BodyText"/>
        <w:rPr/>
      </w:pPr>
      <w:r>
        <w:rPr/>
        <w:t>Le geste ici engagé est dialogique au sens fort. La régulation n’y repose ni sur la verticalité d’une décision, ni sur l’évidence d’une norme, ni sur l’implicite d’une structure, mais sur la mise en tension explicite de régimes de valeur, de formats d’épreuve, de grandeurs et de perspectives hétérogènes. La puissance y devient distribuée : elle se fragmente, se ralentit, s’expose, se confronte. L’arkhê n’y est plus transcendante, mais située ; le krateîn n’y est plus déployé sans entrave, mais soumis à l’épreuve ; l’archicration, enfin, y prend la forme d’un travail différencié de composition réflexive.</w:t>
      </w:r>
    </w:p>
    <w:p>
      <w:pPr>
        <w:pStyle w:val="BodyText"/>
        <w:rPr/>
      </w:pPr>
      <w:r>
        <w:rPr/>
        <w:t>C’est dans cette perspective que seront ici traversés Montesquieu, Boltanski et Thévenot, Latour, Stengers et Morin. Tous proposent, selon des voies distinctes, une pensée de la régulation distribuée : équilibre dynamique des puissances, mondes de justification, diplomatie des existants, ralentissement cosmopolitique, écologie dialogique du lien. Aucun ne livre à lui seul un modèle achevé de co-viabilité ; tous ouvrent cependant des ressources majeures pour penser une archicration réflexive, révisable et pluralisée. C’est cette fécondité, mais aussi ces limites, que cette section se propose d’éprouver.</w:t>
      </w:r>
    </w:p>
    <w:p>
      <w:pPr>
        <w:pStyle w:val="Heading3"/>
        <w:numPr>
          <w:ilvl w:val="2"/>
          <w:numId w:val="2"/>
        </w:numPr>
        <w:rPr/>
      </w:pPr>
      <w:r>
        <w:rPr/>
        <w:t xml:space="preserve">3.4.1 — Invention de la disposition modérée </w:t>
      </w:r>
      <w:r>
        <w:rPr>
          <w:i/>
          <w:iCs/>
        </w:rPr>
        <w:t>— une régulation par équilibre des puissances</w:t>
      </w:r>
    </w:p>
    <w:p>
      <w:pPr>
        <w:pStyle w:val="BodyText"/>
        <w:rPr/>
      </w:pPr>
      <w:r>
        <w:rPr/>
        <w:t xml:space="preserve">Si l’histoire des régimes politiques occidentaux s’est longtemps écrite au prisme de la souveraineté, de l’absolu monarchique, ou des transitions contractuelles, peu d’auteurs ont su, comme </w:t>
      </w:r>
      <w:r>
        <w:rPr>
          <w:i/>
          <w:iCs/>
        </w:rPr>
        <w:t>Montesquieu</w:t>
      </w:r>
      <w:r>
        <w:rPr/>
        <w:t xml:space="preserve"> (1689–1755), penser la régulation non à partir de l’origine du pouvoir, mais de son </w:t>
      </w:r>
      <w:r>
        <w:rPr>
          <w:i/>
          <w:iCs/>
        </w:rPr>
        <w:t>équilibre en tension</w:t>
      </w:r>
      <w:r>
        <w:rPr/>
        <w:t xml:space="preserve">. Contre les modèles d’un pouvoir unifié, indifférencié, centralisé, </w:t>
      </w:r>
      <w:r>
        <w:rPr>
          <w:i/>
          <w:iCs/>
        </w:rPr>
        <w:t>L’Esprit des lois</w:t>
      </w:r>
      <w:r>
        <w:rPr/>
        <w:t xml:space="preserve"> (1748) opère un renversement irremplaçable : ce n’est plus la fondation du pouvoir qui compte, mais son organisation dans un </w:t>
      </w:r>
      <w:r>
        <w:rPr>
          <w:i/>
          <w:iCs/>
        </w:rPr>
        <w:t>dispositif de modération réciproque</w:t>
      </w:r>
      <w:r>
        <w:rPr/>
        <w:t xml:space="preserve">. L’originalité profonde de Montesquieu ne réside pas seulement dans sa défense de la séparation des pouvoirs — aujourd’hui institutionnalisée dans la plupart des régimes démocratiques — mais dans son intuition d’une </w:t>
      </w:r>
      <w:r>
        <w:rPr>
          <w:i/>
          <w:iCs/>
        </w:rPr>
        <w:t>disposition modérante des forces sociales, politiques et juridiques, qui anticipe avec une étonnante acuité les fondements d’une archicration équilibrée</w:t>
      </w:r>
      <w:r>
        <w:rPr/>
        <w:t xml:space="preserve">, c’est-à-dire d’une </w:t>
      </w:r>
      <w:r>
        <w:rPr>
          <w:i/>
          <w:iCs/>
        </w:rPr>
        <w:t>régulation par différenciation dynamique, confrontée, réflexive</w:t>
      </w:r>
      <w:r>
        <w:rPr/>
        <w:t>.</w:t>
      </w:r>
    </w:p>
    <w:p>
      <w:pPr>
        <w:pStyle w:val="BodyText"/>
        <w:rPr/>
      </w:pPr>
      <w:r>
        <w:rPr/>
        <w:t xml:space="preserve">Ce qui frappe d’abord dans la philosophie politique de Montesquieu, c’est l’abandon radical de toute transcendance fondatrice du pouvoir. Là où les théories classiques — de Bodin à Hobbes — mobilisent une instance souveraine ultime, une </w:t>
      </w:r>
      <w:r>
        <w:rPr>
          <w:i/>
          <w:iCs/>
        </w:rPr>
        <w:t>arkhê</w:t>
      </w:r>
      <w:r>
        <w:rPr/>
        <w:t xml:space="preserve"> absolue garante de l’ordre, Montesquieu inscrit l’autorité dans le mouvement même des corps politiques, dans leur agencement, leur contrepoids, leur articulation. Ainsi écrit-il, dans un passage cardinal :</w:t>
      </w:r>
    </w:p>
    <w:p>
      <w:pPr>
        <w:pStyle w:val="BodyText"/>
        <w:rPr/>
      </w:pPr>
      <w:r>
        <w:rPr/>
        <w:t>« Pour qu’on ne puisse abuser du pouvoir, il faut que, par la disposition des choses, le pouvoir arrête le pouvoir. » (</w:t>
      </w:r>
      <w:r>
        <w:rPr>
          <w:i/>
          <w:iCs/>
        </w:rPr>
        <w:t>De l’esprit des lois</w:t>
      </w:r>
      <w:r>
        <w:rPr/>
        <w:t>, XI, 4)</w:t>
      </w:r>
    </w:p>
    <w:p>
      <w:pPr>
        <w:pStyle w:val="BodyText"/>
        <w:rPr/>
      </w:pPr>
      <w:r>
        <w:rPr/>
        <w:t xml:space="preserve">Par cette formule, souvent répétée, mais rarement comprise dans toute sa portée ontopolitique, Montesquieu énonce une </w:t>
      </w:r>
      <w:r>
        <w:rPr>
          <w:i/>
          <w:iCs/>
        </w:rPr>
        <w:t>loi de tension constitutive</w:t>
      </w:r>
      <w:r>
        <w:rPr/>
        <w:t xml:space="preserve"> : le pouvoir n’est pas à conjurer, ni à déléguer, ni à diviniser ; il est à </w:t>
      </w:r>
      <w:r>
        <w:rPr>
          <w:i/>
          <w:iCs/>
        </w:rPr>
        <w:t>modérer</w:t>
      </w:r>
      <w:r>
        <w:rPr/>
        <w:t xml:space="preserve"> </w:t>
      </w:r>
      <w:r>
        <w:rPr>
          <w:i/>
          <w:iCs/>
        </w:rPr>
        <w:t>par d’autres puissances</w:t>
      </w:r>
      <w:r>
        <w:rPr/>
        <w:t xml:space="preserve">, selon une </w:t>
      </w:r>
      <w:r>
        <w:rPr>
          <w:i/>
          <w:iCs/>
        </w:rPr>
        <w:t>logique structurelle d’auto-contrôle différentiel</w:t>
      </w:r>
      <w:r>
        <w:rPr/>
        <w:t>. L’</w:t>
      </w:r>
      <w:r>
        <w:rPr>
          <w:i/>
          <w:iCs/>
        </w:rPr>
        <w:t>arkhê</w:t>
      </w:r>
      <w:r>
        <w:rPr/>
        <w:t xml:space="preserve"> n’est plus ici un point d’origine absolu, mais une forme relative, </w:t>
      </w:r>
      <w:r>
        <w:rPr>
          <w:i/>
          <w:iCs/>
        </w:rPr>
        <w:t>distribuée dans des structures institutionnelles</w:t>
      </w:r>
      <w:r>
        <w:rPr/>
        <w:t xml:space="preserve"> (exécutif, législatif, judiciaire), elles-mêmes portées par des passions, des intérêts, des affects, des volontés sociales. Il s’agit moins de distribuer des fonctions que de maintenir une </w:t>
      </w:r>
      <w:r>
        <w:rPr>
          <w:i/>
          <w:iCs/>
        </w:rPr>
        <w:t>friction régulatrice</w:t>
      </w:r>
      <w:r>
        <w:rPr/>
        <w:t>, garante de la liberté politique.</w:t>
      </w:r>
    </w:p>
    <w:p>
      <w:pPr>
        <w:pStyle w:val="BodyText"/>
        <w:rPr/>
      </w:pPr>
      <w:r>
        <w:rPr/>
        <w:t xml:space="preserve">Cette philosophie de l’équilibre n’est pas une abstraction constitutionnelle : elle s’ancre dans une vision historique, géopolitique et anthropologique rigoureuse. Montesquieu observe, compare, cartographie. Il ne théorise pas </w:t>
      </w:r>
      <w:r>
        <w:rPr>
          <w:i/>
          <w:iCs/>
        </w:rPr>
        <w:t>ex nihilo</w:t>
      </w:r>
      <w:r>
        <w:rPr/>
        <w:t xml:space="preserve">, mais à partir de </w:t>
      </w:r>
      <w:r>
        <w:rPr>
          <w:i/>
          <w:iCs/>
        </w:rPr>
        <w:t>formes vivantes de régulation</w:t>
      </w:r>
      <w:r>
        <w:rPr/>
        <w:t xml:space="preserve">. L’Angleterre — référence majeure de son œuvre — lui apparaît comme l’exemple d’un système où les forces s’équilibrent sans s’annuler, où la liberté résulte moins d’un droit naturel que d’un jeu d’ajustement entre la Couronne, le Parlement, les magistratures. Ce que propose Montesquieu, ce n’est donc pas une utopie rationnelle, mais une </w:t>
      </w:r>
      <w:r>
        <w:rPr>
          <w:i/>
          <w:iCs/>
        </w:rPr>
        <w:t>mécanique subtile de la viabilité politique</w:t>
      </w:r>
      <w:r>
        <w:rPr/>
        <w:t xml:space="preserve">, où le maintien du lien social suppose des </w:t>
      </w:r>
      <w:r>
        <w:rPr>
          <w:i/>
          <w:iCs/>
        </w:rPr>
        <w:t>agencements réglés mais ouverts, tendus mais stables, différenciés mais corrélés</w:t>
      </w:r>
      <w:r>
        <w:rPr/>
        <w:t>.</w:t>
      </w:r>
    </w:p>
    <w:p>
      <w:pPr>
        <w:pStyle w:val="BodyText"/>
        <w:rPr/>
      </w:pPr>
      <w:r>
        <w:rPr/>
        <w:t xml:space="preserve">Dans cette perspective, la </w:t>
      </w:r>
      <w:r>
        <w:rPr>
          <w:i/>
          <w:iCs/>
        </w:rPr>
        <w:t>cratialité</w:t>
      </w:r>
      <w:r>
        <w:rPr/>
        <w:t xml:space="preserve">, chez Montesquieu, est centrale mais toujours </w:t>
      </w:r>
      <w:r>
        <w:rPr>
          <w:i/>
          <w:iCs/>
        </w:rPr>
        <w:t>contenue</w:t>
      </w:r>
      <w:r>
        <w:rPr/>
        <w:t xml:space="preserve">. Il reconnaît pleinement la force des passions politiques, des désirs d’accumulation, des volontés de domination. Il ne nie pas l’existence du </w:t>
      </w:r>
      <w:r>
        <w:rPr>
          <w:i/>
          <w:iCs/>
        </w:rPr>
        <w:t>kratos</w:t>
      </w:r>
      <w:r>
        <w:rPr/>
        <w:t xml:space="preserve">, mais il le pense comme devant être </w:t>
      </w:r>
      <w:r>
        <w:rPr>
          <w:i/>
          <w:iCs/>
        </w:rPr>
        <w:t>modéré</w:t>
      </w:r>
      <w:r>
        <w:rPr/>
        <w:t xml:space="preserve">, </w:t>
      </w:r>
      <w:r>
        <w:rPr>
          <w:i/>
          <w:iCs/>
        </w:rPr>
        <w:t>inhibé</w:t>
      </w:r>
      <w:r>
        <w:rPr/>
        <w:t xml:space="preserve">, </w:t>
      </w:r>
      <w:r>
        <w:rPr>
          <w:i/>
          <w:iCs/>
        </w:rPr>
        <w:t>refléchi par une structure ordonnatrice</w:t>
      </w:r>
      <w:r>
        <w:rPr/>
        <w:t xml:space="preserve">. Ainsi, la </w:t>
      </w:r>
      <w:r>
        <w:rPr>
          <w:i/>
          <w:iCs/>
        </w:rPr>
        <w:t>cratialité</w:t>
      </w:r>
      <w:r>
        <w:rPr/>
        <w:t xml:space="preserve"> n’est pas ici déchaînée (comme chez Machiavel), ni dissoute dans l’intérêt général (comme chez Rousseau), mais </w:t>
      </w:r>
      <w:r>
        <w:rPr>
          <w:i/>
          <w:iCs/>
        </w:rPr>
        <w:t>canalisée par la disposition des pouvoirs</w:t>
      </w:r>
      <w:r>
        <w:rPr/>
        <w:t xml:space="preserve">. Elle se déploie dans des formes différenciées — la noblesse, la magistrature, le peuple, le roi — dont chacune contient une part de pouvoir, mais aucune ne saurait l’absorber toute entière. Ce partage, loin d’être égalitaire au sens moderne, constitue néanmoins un </w:t>
      </w:r>
      <w:r>
        <w:rPr>
          <w:i/>
          <w:iCs/>
        </w:rPr>
        <w:t>principe fondamental de régulation viable</w:t>
      </w:r>
      <w:r>
        <w:rPr/>
        <w:t xml:space="preserve"> : c’est parce que les puissances sont hétérogènes, disjointes, et maintenues en tension, qu’une stabilité peut émerger.</w:t>
      </w:r>
    </w:p>
    <w:p>
      <w:pPr>
        <w:pStyle w:val="BodyText"/>
        <w:rPr/>
      </w:pPr>
      <w:r>
        <w:rPr/>
        <w:t>Quant à l’</w:t>
      </w:r>
      <w:r>
        <w:rPr>
          <w:i/>
          <w:iCs/>
        </w:rPr>
        <w:t>arcalité</w:t>
      </w:r>
      <w:r>
        <w:rPr/>
        <w:t xml:space="preserve">, Montesquieu la réinvente. Il ne propose pas un ordre fondé sur un pacte (comme Rousseau), ni sur une décision (comme Schmitt), mais sur une </w:t>
      </w:r>
      <w:r>
        <w:rPr>
          <w:i/>
          <w:iCs/>
        </w:rPr>
        <w:t>disposition des choses</w:t>
      </w:r>
      <w:r>
        <w:rPr/>
        <w:t xml:space="preserve"> : autrement dit, une architecture politique sans sujet transcendant, mais avec des </w:t>
      </w:r>
      <w:r>
        <w:rPr>
          <w:i/>
          <w:iCs/>
        </w:rPr>
        <w:t>formes instituées différenciées</w:t>
      </w:r>
      <w:r>
        <w:rPr/>
        <w:t xml:space="preserve">. L’ordre n’est pas posé par une volonté, mais émerge d’un certain type de composition. C’est un ordre qui se stabilise, non parce qu’il est imposé, mais parce qu’il est </w:t>
      </w:r>
      <w:r>
        <w:rPr>
          <w:i/>
          <w:iCs/>
        </w:rPr>
        <w:t>équilibré</w:t>
      </w:r>
      <w:r>
        <w:rPr/>
        <w:t>. L’</w:t>
      </w:r>
      <w:r>
        <w:rPr>
          <w:i/>
          <w:iCs/>
        </w:rPr>
        <w:t>arkhê</w:t>
      </w:r>
      <w:r>
        <w:rPr/>
        <w:t xml:space="preserve">, dès lors, devient </w:t>
      </w:r>
      <w:r>
        <w:rPr>
          <w:i/>
          <w:iCs/>
        </w:rPr>
        <w:t>modérante</w:t>
      </w:r>
      <w:r>
        <w:rPr/>
        <w:t xml:space="preserve">, </w:t>
      </w:r>
      <w:r>
        <w:rPr>
          <w:i/>
          <w:iCs/>
        </w:rPr>
        <w:t>structurelle</w:t>
      </w:r>
      <w:r>
        <w:rPr/>
        <w:t xml:space="preserve"> plutôt que fondatrice, orientée vers la </w:t>
      </w:r>
      <w:r>
        <w:rPr>
          <w:i/>
          <w:iCs/>
        </w:rPr>
        <w:t>préservation des conditions de viabilité du corps politique</w:t>
      </w:r>
      <w:r>
        <w:rPr/>
        <w:t xml:space="preserve">. C’est une </w:t>
      </w:r>
      <w:r>
        <w:rPr>
          <w:i/>
          <w:iCs/>
        </w:rPr>
        <w:t>arcalité relative, distributive, ouverte à la révision</w:t>
      </w:r>
      <w:r>
        <w:rPr/>
        <w:t>.</w:t>
      </w:r>
    </w:p>
    <w:p>
      <w:pPr>
        <w:pStyle w:val="BodyText"/>
        <w:rPr/>
      </w:pPr>
      <w:r>
        <w:rPr/>
        <w:t>C’est sur le plan de l’archicration que la fécondité de Montesquieu apparaît le plus nettement. La régulation qu’il propose n’est ni silencieuse, ni diffuse, ni ontologique : elle est explicitement organisée comme mise en tension, mise en balance, confrontation réglée des puissances. Certes, cette architecture demeure encore largement formelle et laisse dans l’ombre les inégalités sociales, les dominations économiques ou les asymétries coloniales. Mais elle anticipe déjà une idée décisive pour notre paradigme : aucune instance ne saurait réguler seule sans être, en retour, exposée à une autre force capable de la contenir.</w:t>
      </w:r>
    </w:p>
    <w:p>
      <w:pPr>
        <w:pStyle w:val="BodyText"/>
        <w:rPr/>
      </w:pPr>
      <w:r>
        <w:rPr/>
        <w:t>En ce sens, Montesquieu est sans doute le premier penseur moderne d’une co-viabilité politique par différenciation structurée. Il ne cherche ni à fusionner les puissances, ni à les soumettre à une volonté unique, ni à les neutraliser, mais à les maintenir dans un état de tension modératrice. Sa limite demeure nette : il pense l’ajustement des forces, non leur transformation critique ; il organise l’existant, sans encore ouvrir pleinement la scène où les formes de légitimité elles-mêmes pourraient entrer en concurrence. Mais c’est précisément cette matrice — pluralité de l’arcalité, distribution de la cratialité, archicration réfléchie — qui prépare l’entrée dans les régimes dialogiques de la justification.</w:t>
      </w:r>
    </w:p>
    <w:p>
      <w:pPr>
        <w:pStyle w:val="Heading3"/>
        <w:numPr>
          <w:ilvl w:val="2"/>
          <w:numId w:val="2"/>
        </w:numPr>
        <w:rPr/>
      </w:pPr>
      <w:r>
        <w:rPr/>
        <w:t xml:space="preserve">3.4.2 — Mondes sociaux, grandeurs, épreuves — </w:t>
      </w:r>
      <w:r>
        <w:rPr>
          <w:i/>
          <w:iCs/>
        </w:rPr>
        <w:t>une</w:t>
      </w:r>
      <w:r>
        <w:rPr/>
        <w:t xml:space="preserve"> </w:t>
      </w:r>
      <w:r>
        <w:rPr>
          <w:i/>
          <w:iCs/>
        </w:rPr>
        <w:t>régulation modulaire ajustée</w:t>
      </w:r>
    </w:p>
    <w:p>
      <w:pPr>
        <w:pStyle w:val="BodyText"/>
        <w:rPr/>
      </w:pPr>
      <w:r>
        <w:rPr/>
        <w:t xml:space="preserve">Parmi les contributions majeures à la refondation de notre compréhension des régimes de légitimité, des formes de justification et des modalités concrètes de régulation du lien social dans les sociétés pluralistes modernes, l’œuvre conjointe de Luc Boltanski et Laurent Thévenot s’impose comme une référence structurante. Leur ouvrage fondateur </w:t>
      </w:r>
      <w:r>
        <w:rPr>
          <w:i/>
          <w:iCs/>
        </w:rPr>
        <w:t>De la justification. Les économies de la grandeur</w:t>
      </w:r>
      <w:r>
        <w:rPr/>
        <w:t xml:space="preserve"> (Gallimard, 1991) ne constitue nullement un simple traité de sociologie morale ou une typologie classificatoire de formes de jugement social. Il engage bien davantage une mutation paradigmatique dans notre manière de concevoir la régulation collective : en substituant à une conception unitaire de la justice une grammaire pluraliste des épreuves, il opère une rupture radicale avec les modèles juridiques normatifs et les théories du consensus transcendantal.</w:t>
      </w:r>
    </w:p>
    <w:p>
      <w:pPr>
        <w:pStyle w:val="BodyText"/>
        <w:rPr/>
      </w:pPr>
      <w:r>
        <w:rPr/>
        <w:t xml:space="preserve">Cette œuvre propose ainsi une modélisation inédite du lien social comme configuration dialogique, où l’accord ne résulte ni d’une fusion affective (comme dans certaines approches communautariennes), ni d’une imposition unilatérale (comme dans les régimes souverainistes ou techno-normatifs), mais d’un travail réflexif d’ajustement, de mise en compatibilité, de traduction mutuelle entre des </w:t>
      </w:r>
      <w:r>
        <w:rPr>
          <w:i/>
          <w:iCs/>
        </w:rPr>
        <w:t>mondes</w:t>
      </w:r>
      <w:r>
        <w:rPr/>
        <w:t xml:space="preserve"> ou </w:t>
      </w:r>
      <w:r>
        <w:rPr>
          <w:i/>
          <w:iCs/>
        </w:rPr>
        <w:t>cités</w:t>
      </w:r>
      <w:r>
        <w:rPr/>
        <w:t xml:space="preserve"> de référence dotés chacun de leur propre cohérence normative. En cela, cette pensée de la justification ouvre un espace théorique fondamental pour penser une </w:t>
      </w:r>
      <w:r>
        <w:rPr>
          <w:i/>
          <w:iCs/>
        </w:rPr>
        <w:t>archicration distribuée, différenciée, modulaire, situé</w:t>
      </w:r>
      <w:r>
        <w:rPr/>
        <w:t xml:space="preserve">e — autrement dit, une </w:t>
      </w:r>
      <w:r>
        <w:rPr>
          <w:i/>
          <w:iCs/>
        </w:rPr>
        <w:t>régulation en tension, procédurale, pragmatique, et orientée vers la co-viabilité différenciée</w:t>
      </w:r>
      <w:r>
        <w:rPr/>
        <w:t>.</w:t>
      </w:r>
    </w:p>
    <w:p>
      <w:pPr>
        <w:pStyle w:val="BodyText"/>
        <w:rPr/>
      </w:pPr>
      <w:r>
        <w:rPr/>
        <w:t>Le cœur de la théorie élaborée par Boltanski et Thévenot tient dans une hypothèse décisive : les sociétés modernes ne reposent pas sur un ordre normatif unique, mais sur une pluralité de mondes de justification, chacun doté de ses propres principes de grandeur, de ses êtres légitimes, de ses objets, de ses épreuves et de ses formats de validité. Dès lors, la régulation ne peut plus être pensée comme application linéaire d’une norme centrale, mais comme ajustement toujours fragile entre des logiques de légitimation hétérogènes. Le monde social apparaît ainsi comme un espace de coexistence conflictuelle entre ordres de grandeur partiellement irréductibles, dont les accords, les conflits et les compromis dépendent de scènes d’épreuve où les justifications sont publiquement convoquées, comparées et mises à l’essai.</w:t>
      </w:r>
    </w:p>
    <w:p>
      <w:pPr>
        <w:pStyle w:val="BodyText"/>
        <w:rPr/>
      </w:pPr>
      <w:r>
        <w:rPr/>
        <w:t>C’est là leur apport majeur pour une lecture archicratique du politique : l’espace de la régulation n’est plus défini par la seule institution, ni par la structure silencieuse, ni par l’affect, mais par des moments où l’accord cesse d’aller de soi et où les acteurs doivent rendre leurs positions recevables dans un espace partagé. La régulation devient alors travail dialogique de compatibilité provisoire entre mondes concurrents, non suppression des désaccords.</w:t>
      </w:r>
    </w:p>
    <w:p>
      <w:pPr>
        <w:pStyle w:val="BodyText"/>
        <w:rPr/>
      </w:pPr>
      <w:r>
        <w:rPr/>
        <w:t>L’espace de la régulation n’est plus défini par l’institution (comme chez Rousseau ou Schmitt), ni par la structure silencieuse (comme chez Foucault ou Bourdieu), ni par l’affect ontologique (comme chez Rosa), mais par l’</w:t>
      </w:r>
      <w:r>
        <w:rPr>
          <w:i/>
          <w:iCs/>
        </w:rPr>
        <w:t>interaction critique située</w:t>
      </w:r>
      <w:r>
        <w:rPr/>
        <w:t xml:space="preserve">, dans laquelle les subjectivités déploient leur capacité à convoquer, comparer, articuler — ou mettre en défaut — les formats normatifs disponibles. Par là, Boltanski et Thévenot offrent les fondements d’une </w:t>
      </w:r>
      <w:r>
        <w:rPr>
          <w:i/>
          <w:iCs/>
        </w:rPr>
        <w:t>grammaire de la régulation par différenciation dialogique</w:t>
      </w:r>
      <w:r>
        <w:rPr/>
        <w:t xml:space="preserve">, où la co-viabilité se construit non par élimination des conflits, mais par la </w:t>
      </w:r>
      <w:r>
        <w:rPr>
          <w:i/>
          <w:iCs/>
        </w:rPr>
        <w:t>reconnaissance structurée de leur pluralité</w:t>
      </w:r>
      <w:r>
        <w:rPr/>
        <w:t>.</w:t>
      </w:r>
    </w:p>
    <w:p>
      <w:pPr>
        <w:pStyle w:val="BodyText"/>
        <w:rPr/>
      </w:pPr>
      <w:r>
        <w:rPr/>
        <w:t>L’approche de Boltanski et Thévenot est décisive pour l’Archicratie parce qu’elle déplace la régulation vers la scène même de l’épreuve critique. Les acteurs n’y sont ni de simples porteurs de structures, ni des sujets souverains, mais des êtres capables de justification, de déplacement entre mondes, de mobilisation de grandeurs différentes selon les situations. Il en résulte une forme de cratialité dialogique : une puissance de faire valoir, de comparer, de mettre en tension des régimes de légitimité sans les réduire à une norme unique. Corrélativement, l’arcalité cesse d’être transcendante pour devenir distributive, située, révisable, inscrite dans des formats d’épreuve et des mondes de validité différenciés. Quant à l’archicration, elle prend ici la forme d’une régulation située, construite dans la confrontation visible des justifications et dans la recherche de compromis toujours partiels.</w:t>
      </w:r>
    </w:p>
    <w:p>
      <w:pPr>
        <w:pStyle w:val="BodyText"/>
        <w:rPr/>
      </w:pPr>
      <w:r>
        <w:rPr/>
        <w:t>Cette puissance a toutefois sa limite. Le modèle suppose encore un espace civique relativement stable, des acteurs capables d’argumentation reconnue, et une scène où les asymétries n’empêchent pas entièrement la comparabilité des mondes. Il prend donc insuffisamment en charge les zones d’injustifiabilité structurelle, les conflits trop dissymétriques pour devenir épreuves recevables, ou les situations où la scène elle-même est refusée, capturée ou rendue impraticable. C’est pourquoi leur œuvre doit être prolongée plutôt que simplement reprise : elle fournit une matrice majeure de régulation pluraliste, mais non encore une théorie complète des conditions archicratiques de la co-viabilité.</w:t>
      </w:r>
    </w:p>
    <w:p>
      <w:pPr>
        <w:pStyle w:val="Heading3"/>
        <w:numPr>
          <w:ilvl w:val="2"/>
          <w:numId w:val="2"/>
        </w:numPr>
        <w:rPr/>
      </w:pPr>
      <w:r>
        <w:rPr/>
        <w:t xml:space="preserve">3.4.3 — Réseaux hybrides, symétrie, diplomatie — </w:t>
      </w:r>
      <w:r>
        <w:rPr>
          <w:i/>
          <w:iCs/>
        </w:rPr>
        <w:t>une régulation distribuée</w:t>
      </w:r>
    </w:p>
    <w:p>
      <w:pPr>
        <w:pStyle w:val="BodyText"/>
        <w:rPr/>
      </w:pPr>
      <w:r>
        <w:rPr/>
        <w:t xml:space="preserve">« </w:t>
      </w:r>
      <w:r>
        <w:rPr>
          <w:i/>
          <w:iCs/>
        </w:rPr>
        <w:t>Nous n’avons jamais été modernes</w:t>
      </w:r>
      <w:r>
        <w:rPr/>
        <w:t xml:space="preserve"> » — cette formule inaugurale, que Bruno Latour érige en axiome dès le titre de son ouvrage phare publié en 1991 (</w:t>
      </w:r>
      <w:r>
        <w:rPr>
          <w:i/>
          <w:iCs/>
        </w:rPr>
        <w:t>Nous n’avons jamais été modernes. Essai d’anthropologie symétrique</w:t>
      </w:r>
      <w:r>
        <w:rPr/>
        <w:t xml:space="preserve">, Paris, La Découverte), n’est pas une provocation rhétorique mais une déflagration ontologique qui oblige à revisiter de fond en comble l’édifice conceptuel sur lequel repose la modernité occidentale. Latour y démonte, pièce par pièce, ce qu’il nomme la </w:t>
      </w:r>
      <w:r>
        <w:rPr>
          <w:i/>
          <w:iCs/>
        </w:rPr>
        <w:t>Constitution Moderne</w:t>
      </w:r>
      <w:r>
        <w:rPr/>
        <w:t xml:space="preserve"> — soit le système de séparation, d’épuration et de double régime (métaphysique et politique) ayant organisé, depuis le XVIIe siècle, la division entre nature et société, faits et valeurs, objets et sujets, techniques et cultures. Cette modernité, loin d’avoir opéré une maîtrise rationnelle du monde, aurait au contraire multiplié les hybrides tout en les dissimulant sous une grille de lecture purificatrice. Ce que Latour appelle </w:t>
      </w:r>
      <w:r>
        <w:rPr>
          <w:i/>
          <w:iCs/>
        </w:rPr>
        <w:t>le Grand Partage</w:t>
      </w:r>
      <w:r>
        <w:rPr/>
        <w:t xml:space="preserve"> (entre humain et non-humain) n’a jamais eu lieu — ou plutôt, il n’a fonctionné qu’en surface, comme fable justificatrice d’un monde en réalité toujours </w:t>
      </w:r>
      <w:r>
        <w:rPr>
          <w:i/>
          <w:iCs/>
        </w:rPr>
        <w:t>composite</w:t>
      </w:r>
      <w:r>
        <w:rPr/>
        <w:t xml:space="preserve">, </w:t>
      </w:r>
      <w:r>
        <w:rPr>
          <w:i/>
          <w:iCs/>
        </w:rPr>
        <w:t>enchevêtré</w:t>
      </w:r>
      <w:r>
        <w:rPr/>
        <w:t xml:space="preserve">, </w:t>
      </w:r>
      <w:r>
        <w:rPr>
          <w:i/>
          <w:iCs/>
        </w:rPr>
        <w:t>proliférant</w:t>
      </w:r>
      <w:r>
        <w:rPr/>
        <w:t>.</w:t>
      </w:r>
    </w:p>
    <w:p>
      <w:pPr>
        <w:pStyle w:val="BodyText"/>
        <w:rPr/>
      </w:pPr>
      <w:r>
        <w:rPr/>
        <w:t xml:space="preserve">C’est sur cette base que Latour construit l’édifice théorique le plus innovant, peut-être, des dernières décennies dans le champ des sciences sociales : la </w:t>
      </w:r>
      <w:r>
        <w:rPr>
          <w:i/>
          <w:iCs/>
        </w:rPr>
        <w:t>théorie de l’acteur-réseau</w:t>
      </w:r>
      <w:r>
        <w:rPr/>
        <w:t xml:space="preserve"> (Actor-Network Theory, ou ANT). Cette théorie, codéveloppée avec Michel Callon, Madeleine Akrich et les chercheurs du Centre de sociologie de l’innovation (CSI), ne postule plus une société comme système, ni une politique comme sphère, ni un pouvoir comme verticalité. Elle propose une ontologie relationnelle de la co-présence, où l’ordre collectif ne préexiste jamais à son assemblage. En d’autres termes : il n’y a pas de société </w:t>
      </w:r>
      <w:r>
        <w:rPr>
          <w:i/>
          <w:iCs/>
        </w:rPr>
        <w:t>déjà là</w:t>
      </w:r>
      <w:r>
        <w:rPr/>
        <w:t xml:space="preserve"> ; il n’y a que des </w:t>
      </w:r>
      <w:r>
        <w:rPr>
          <w:i/>
          <w:iCs/>
        </w:rPr>
        <w:t>associations provisoires d’actants</w:t>
      </w:r>
      <w:r>
        <w:rPr/>
        <w:t xml:space="preserve"> — humains, non-humains, discours, objets, dispositifs, institutions — dont la stabilisation temporaire constitue ce que nous nommons un </w:t>
      </w:r>
      <w:r>
        <w:rPr>
          <w:i/>
          <w:iCs/>
        </w:rPr>
        <w:t>ordre</w:t>
      </w:r>
      <w:r>
        <w:rPr/>
        <w:t>. L’acteur lui-même ne préexiste pas au réseau : il en est le produit, l’effet, le nœud. L’architecture sociale devient un tissage, un maillage, un entrelacs — et non plus une pyramide ou un corps organique.</w:t>
      </w:r>
    </w:p>
    <w:p>
      <w:pPr>
        <w:pStyle w:val="BodyText"/>
        <w:rPr/>
      </w:pPr>
      <w:r>
        <w:rPr/>
        <w:t>Ce basculement épistémologique est fondamental pour notre thèse sur l’</w:t>
      </w:r>
      <w:r>
        <w:rPr>
          <w:i/>
          <w:iCs/>
        </w:rPr>
        <w:t>Archicratie</w:t>
      </w:r>
      <w:r>
        <w:rPr/>
        <w:t xml:space="preserve">. Car ce que Latour propose, c’est une pensée non souveraine de la régulation : une régulation sans fondement transcendant, sans source unique, sans norme a priori. Une régulation qui ne résulte pas d’une autorité supérieure, mais de la mise en forme </w:t>
      </w:r>
      <w:r>
        <w:rPr>
          <w:i/>
          <w:iCs/>
        </w:rPr>
        <w:t>distribuée</w:t>
      </w:r>
      <w:r>
        <w:rPr/>
        <w:t xml:space="preserve">, </w:t>
      </w:r>
      <w:r>
        <w:rPr>
          <w:i/>
          <w:iCs/>
        </w:rPr>
        <w:t>située</w:t>
      </w:r>
      <w:r>
        <w:rPr/>
        <w:t xml:space="preserve">, </w:t>
      </w:r>
      <w:r>
        <w:rPr>
          <w:i/>
          <w:iCs/>
        </w:rPr>
        <w:t>négociée</w:t>
      </w:r>
      <w:r>
        <w:rPr/>
        <w:t xml:space="preserve"> des interdépendances entre entités hétérogènes. Le concept de </w:t>
      </w:r>
      <w:r>
        <w:rPr>
          <w:i/>
          <w:iCs/>
        </w:rPr>
        <w:t>traduction</w:t>
      </w:r>
      <w:r>
        <w:rPr/>
        <w:t xml:space="preserve">, central dans l’ANT, désigne ce travail de médiation par lequel des entités auparavant disjointes (un chercheur, un artefact technique, une problématique sociale, un protocole expérimental) sont mises en relation et deviennent, par cette opération, porteuses de contraintes réciproques. La régulation devient alors l’effet différé d’une </w:t>
      </w:r>
      <w:r>
        <w:rPr>
          <w:i/>
          <w:iCs/>
        </w:rPr>
        <w:t>co-fabrication active du monde</w:t>
      </w:r>
      <w:r>
        <w:rPr/>
        <w:t xml:space="preserve"> — et non l’application d’une règle universelle ou l’imposition d’un pouvoir vertical.</w:t>
      </w:r>
    </w:p>
    <w:p>
      <w:pPr>
        <w:pStyle w:val="BodyText"/>
        <w:rPr/>
      </w:pPr>
      <w:r>
        <w:rPr/>
        <w:t xml:space="preserve">Dans </w:t>
      </w:r>
      <w:r>
        <w:rPr>
          <w:i/>
          <w:iCs/>
        </w:rPr>
        <w:t>La science en action</w:t>
      </w:r>
      <w:r>
        <w:rPr/>
        <w:t xml:space="preserve"> (1987), Latour propose une sociologie de la connaissance scientifique qui inverse le modèle classique de la véridiction : la vérité n’est plus une propriété abstraite des énoncés, mais une </w:t>
      </w:r>
      <w:r>
        <w:rPr>
          <w:i/>
          <w:iCs/>
        </w:rPr>
        <w:t>performance stabilisée</w:t>
      </w:r>
      <w:r>
        <w:rPr/>
        <w:t xml:space="preserve"> au terme d’une chaîne d’épreuves, de traductions, de validations matérielles et sociales. Le savoir n’émerge pas d’un sujet rationnel, mais d’un agencement collectif d’énonciation — télescopes, instruments de mesure, schémas, tableaux de données, revues à comité de lecture, colloques scientifiques, controverses publiques. Ce que Latour appelle la </w:t>
      </w:r>
      <w:r>
        <w:rPr>
          <w:i/>
          <w:iCs/>
        </w:rPr>
        <w:t>symétrie généralisée</w:t>
      </w:r>
      <w:r>
        <w:rPr/>
        <w:t xml:space="preserve"> impose de traiter de la même manière les explications qui réussissent et celles qui échouent, les faits scientifiques et les croyances, les laboratoires et les forums politiques : non pas pour les relativiser, mais pour décrire </w:t>
      </w:r>
      <w:r>
        <w:rPr>
          <w:i/>
          <w:iCs/>
        </w:rPr>
        <w:t>comment</w:t>
      </w:r>
      <w:r>
        <w:rPr/>
        <w:t xml:space="preserve"> s’opère la construction des vérités dans un monde peuplé d’êtres composites.</w:t>
      </w:r>
    </w:p>
    <w:p>
      <w:pPr>
        <w:pStyle w:val="BodyText"/>
        <w:rPr/>
      </w:pPr>
      <w:r>
        <w:rPr/>
        <w:t xml:space="preserve">Cette approche, qui déstabilise les épistémologies classiques, résonne profondément avec l’hypothèse archicratique : la régulation n’est pas ce qui vient après l’action pour en corriger les excès, elle est ce qui rend possible la co-existence d’acteurs hétérogènes dans des formats d’épreuve partagés. Dans une perspective latourienne, on ne gouverne pas un collectif ; on </w:t>
      </w:r>
      <w:r>
        <w:rPr>
          <w:i/>
          <w:iCs/>
        </w:rPr>
        <w:t>compose</w:t>
      </w:r>
      <w:r>
        <w:rPr/>
        <w:t xml:space="preserve"> un agencement. Et cette composition est toujours </w:t>
      </w:r>
      <w:r>
        <w:rPr>
          <w:i/>
          <w:iCs/>
        </w:rPr>
        <w:t>diplomatique</w:t>
      </w:r>
      <w:r>
        <w:rPr/>
        <w:t xml:space="preserve">, </w:t>
      </w:r>
      <w:r>
        <w:rPr>
          <w:i/>
          <w:iCs/>
        </w:rPr>
        <w:t>fragile</w:t>
      </w:r>
      <w:r>
        <w:rPr/>
        <w:t xml:space="preserve">, </w:t>
      </w:r>
      <w:r>
        <w:rPr>
          <w:i/>
          <w:iCs/>
        </w:rPr>
        <w:t>provisoire</w:t>
      </w:r>
      <w:r>
        <w:rPr/>
        <w:t>, exposée aux dissonances et aux crises.</w:t>
      </w:r>
    </w:p>
    <w:p>
      <w:pPr>
        <w:pStyle w:val="BodyText"/>
        <w:rPr/>
      </w:pPr>
      <w:r>
        <w:rPr/>
        <w:t xml:space="preserve">Dans </w:t>
      </w:r>
      <w:r>
        <w:rPr>
          <w:i/>
          <w:iCs/>
        </w:rPr>
        <w:t>Politiques de la nature</w:t>
      </w:r>
      <w:r>
        <w:rPr/>
        <w:t xml:space="preserve"> (1999), Latour radicalise encore cette intuition en formulant une théorie politique qui dépasse à la fois la démocratie représentative classique et l’écologie institutionnelle. Il y déploie ce qu’il appelle une </w:t>
      </w:r>
      <w:r>
        <w:rPr>
          <w:i/>
          <w:iCs/>
        </w:rPr>
        <w:t>constitution cosmopolitique</w:t>
      </w:r>
      <w:r>
        <w:rPr/>
        <w:t xml:space="preserve">, un </w:t>
      </w:r>
      <w:r>
        <w:rPr>
          <w:i/>
          <w:iCs/>
        </w:rPr>
        <w:t>Parlement des choses</w:t>
      </w:r>
      <w:r>
        <w:rPr/>
        <w:t xml:space="preserve">, dans lequel les entités non-humaines — fleuves, animaux, virus, objets techniques, atmosphères — sont représentées dans la délibération politique. Mais cette représentation ne va pas de soi : elle requiert des </w:t>
      </w:r>
      <w:r>
        <w:rPr>
          <w:i/>
          <w:iCs/>
        </w:rPr>
        <w:t>porte-paroles</w:t>
      </w:r>
      <w:r>
        <w:rPr/>
        <w:t xml:space="preserve">, des formats d’épreuve, des chaînes de légitimation. Un ours polaire ne s’exprime pas ; il faut qu’un scientifique, un artiste, un activiste, un avocat le représente. Or cette délégation est elle-même sujette à controverse : </w:t>
      </w:r>
      <w:r>
        <w:rPr>
          <w:i/>
          <w:iCs/>
        </w:rPr>
        <w:t>qui parle au nom de qui ? avec quelle légitimité ? avec quelle autorisation symbolique, épistémique, politique ?</w:t>
      </w:r>
    </w:p>
    <w:p>
      <w:pPr>
        <w:pStyle w:val="BodyText"/>
        <w:rPr/>
      </w:pPr>
      <w:r>
        <w:rPr/>
        <w:t xml:space="preserve">Ce que Latour met au jour, c’est que la régulation ne peut plus être fondée sur l’autorité d’une instance unique — qu’il s’agisse de l’État, de la science, ou du droit — mais sur une </w:t>
      </w:r>
      <w:r>
        <w:rPr>
          <w:i/>
          <w:iCs/>
        </w:rPr>
        <w:t>pluriversité d’épreuves, de formats de légitimation, de régimes d’attestation</w:t>
      </w:r>
      <w:r>
        <w:rPr/>
        <w:t xml:space="preserve">. Il y a des preuves scientifiques, des récits autochtones, des vécus affectifs, des argumentations juridiques, des actions artistiques — et aucun de ces formats ne peut être simplement réduit aux autres. D’où la nécessité d’une </w:t>
      </w:r>
      <w:r>
        <w:rPr>
          <w:i/>
          <w:iCs/>
        </w:rPr>
        <w:t>cosmopolitique des épreuves</w:t>
      </w:r>
      <w:r>
        <w:rPr/>
        <w:t>, c’est-à-dire d’</w:t>
      </w:r>
      <w:r>
        <w:rPr>
          <w:i/>
          <w:iCs/>
        </w:rPr>
        <w:t>une arène où les régimes de réalité, les formats de co-présence, les modalités de légitimation puissent être articulés sans être hiérarchisés</w:t>
      </w:r>
      <w:r>
        <w:rPr/>
        <w:t>. Et c’est précisément là que se situe l’apport fondamental de Latour à notre pensée archicratique : la scène de la régulation est toujours hétérogène, disputée, pluralisée, et jamais close.</w:t>
      </w:r>
    </w:p>
    <w:p>
      <w:pPr>
        <w:pStyle w:val="BodyText"/>
        <w:rPr/>
      </w:pPr>
      <w:r>
        <w:rPr/>
        <w:t xml:space="preserve">Cette cosmopolitique se poursuit dans </w:t>
      </w:r>
      <w:r>
        <w:rPr>
          <w:i/>
          <w:iCs/>
        </w:rPr>
        <w:t>L’Enquête sur les modes d’existence</w:t>
      </w:r>
      <w:r>
        <w:rPr/>
        <w:t xml:space="preserve"> (2012), qui constitue sans doute l’œuvre la plus ambitieuse et la plus systématique de Latour. Il y propose une cartographie des </w:t>
      </w:r>
      <w:r>
        <w:rPr>
          <w:i/>
          <w:iCs/>
        </w:rPr>
        <w:t>régimes d’existence</w:t>
      </w:r>
      <w:r>
        <w:rPr/>
        <w:t xml:space="preserve"> — religieux, politique, technique, juridique, fictionnel, scientifique, etc. — chacun étant défini non par sa matière, mais bien par ses </w:t>
      </w:r>
      <w:r>
        <w:rPr>
          <w:i/>
          <w:iCs/>
        </w:rPr>
        <w:t>modalités d’épreuve</w:t>
      </w:r>
      <w:r>
        <w:rPr/>
        <w:t xml:space="preserve">, ses </w:t>
      </w:r>
      <w:r>
        <w:rPr>
          <w:i/>
          <w:iCs/>
        </w:rPr>
        <w:t>formats de validation</w:t>
      </w:r>
      <w:r>
        <w:rPr/>
        <w:t xml:space="preserve">, ses </w:t>
      </w:r>
      <w:r>
        <w:rPr>
          <w:i/>
          <w:iCs/>
        </w:rPr>
        <w:t>institutions d’attestation</w:t>
      </w:r>
      <w:r>
        <w:rPr/>
        <w:t xml:space="preserve">. Ce que propose ici Latour, ce n’est pas une ontologie plate ou relativiste, mais une </w:t>
      </w:r>
      <w:r>
        <w:rPr>
          <w:i/>
          <w:iCs/>
        </w:rPr>
        <w:t>ontologie réglée</w:t>
      </w:r>
      <w:r>
        <w:rPr/>
        <w:t xml:space="preserve"> : chaque régime a ses règles propres, ses temporalités, ses seuils d’irréversibilité, ses formats d’interprétation. Et surtout, les régimes ne sont pas juxtaposables sans dommage : leur mise en relation suppose un travail d’ajustement, une diplomatie, une prudence — bref, une forme de régulation.</w:t>
      </w:r>
    </w:p>
    <w:p>
      <w:pPr>
        <w:pStyle w:val="BodyText"/>
        <w:rPr/>
      </w:pPr>
      <w:r>
        <w:rPr/>
        <w:t xml:space="preserve">Or l’Archicratie, dans son ambition maximale, peut se définir précisément comme cette capacité à orchestrer les régimes d’existence sans les réduire, à rendre possible leur co-présence sans les fusionner, à instituer des scènes où les grandeurs — dans le sens de Boltanski et Thévenot — peuvent être confrontées, discutées, critiquées, sans être soumises à une norme unique. Là où les régimes politiques classiques cherchent l’unification normative, l’Archicratie, inspirée par Latour, cherche la </w:t>
      </w:r>
      <w:r>
        <w:rPr>
          <w:i/>
          <w:iCs/>
        </w:rPr>
        <w:t>tension productive</w:t>
      </w:r>
      <w:r>
        <w:rPr/>
        <w:t xml:space="preserve">, la </w:t>
      </w:r>
      <w:r>
        <w:rPr>
          <w:i/>
          <w:iCs/>
        </w:rPr>
        <w:t>dissonance réglée</w:t>
      </w:r>
      <w:r>
        <w:rPr/>
        <w:t xml:space="preserve">, la </w:t>
      </w:r>
      <w:r>
        <w:rPr>
          <w:i/>
          <w:iCs/>
        </w:rPr>
        <w:t>pluralité orchestrée</w:t>
      </w:r>
      <w:r>
        <w:rPr/>
        <w:t>.</w:t>
      </w:r>
    </w:p>
    <w:p>
      <w:pPr>
        <w:pStyle w:val="BodyText"/>
        <w:rPr/>
      </w:pPr>
      <w:r>
        <w:rPr/>
        <w:t xml:space="preserve">C’est ici que s’impose l’intuition archicratique dans toute sa rigueur : </w:t>
      </w:r>
      <w:r>
        <w:rPr>
          <w:i/>
          <w:iCs/>
        </w:rPr>
        <w:t>la régulation n’est pas un état, mais un agencement</w:t>
      </w:r>
      <w:r>
        <w:rPr/>
        <w:t xml:space="preserve">, </w:t>
      </w:r>
      <w:r>
        <w:rPr>
          <w:i/>
          <w:iCs/>
        </w:rPr>
        <w:t>elle n’est pas une norme, mais une scène</w:t>
      </w:r>
      <w:r>
        <w:rPr/>
        <w:t xml:space="preserve">, </w:t>
      </w:r>
      <w:r>
        <w:rPr>
          <w:i/>
          <w:iCs/>
        </w:rPr>
        <w:t>elle n’est pas une souveraineté, mais une orchestration d’épreuves</w:t>
      </w:r>
      <w:r>
        <w:rPr/>
        <w:t xml:space="preserve">. Chez Latour, cette scène est toujours ouverte, réversible, située — et c’est précisément ce qui fait de sa pensée une ressource décisive pour notre essai-thèse. Car le monde qu’il décrit — </w:t>
      </w:r>
      <w:r>
        <w:rPr>
          <w:i/>
          <w:iCs/>
        </w:rPr>
        <w:t>fait d’actants composites, d’épreuves dissensuelles, de représentations disputées</w:t>
      </w:r>
      <w:r>
        <w:rPr/>
        <w:t xml:space="preserve"> — est exactement celui auquel s’adresse notre hypothèse : un monde </w:t>
      </w:r>
      <w:r>
        <w:rPr>
          <w:i/>
          <w:iCs/>
        </w:rPr>
        <w:t>post-souverain</w:t>
      </w:r>
      <w:r>
        <w:rPr/>
        <w:t xml:space="preserve">, </w:t>
      </w:r>
      <w:r>
        <w:rPr>
          <w:i/>
          <w:iCs/>
        </w:rPr>
        <w:t>post-institutionnel</w:t>
      </w:r>
      <w:r>
        <w:rPr/>
        <w:t xml:space="preserve">, </w:t>
      </w:r>
      <w:r>
        <w:rPr>
          <w:i/>
          <w:iCs/>
        </w:rPr>
        <w:t>post-normatif</w:t>
      </w:r>
      <w:r>
        <w:rPr/>
        <w:t xml:space="preserve">, où la question centrale n’est plus </w:t>
      </w:r>
      <w:r>
        <w:rPr>
          <w:i/>
          <w:iCs/>
        </w:rPr>
        <w:t>qui commande ?</w:t>
      </w:r>
      <w:r>
        <w:rPr/>
        <w:t xml:space="preserve">, mais </w:t>
      </w:r>
      <w:r>
        <w:rPr>
          <w:i/>
          <w:iCs/>
        </w:rPr>
        <w:t>comment faire coexister sans détruire ?</w:t>
      </w:r>
    </w:p>
    <w:p>
      <w:pPr>
        <w:pStyle w:val="BodyText"/>
        <w:rPr/>
      </w:pPr>
      <w:r>
        <w:rPr/>
        <w:t xml:space="preserve">Dans ce monde, les tensions ne sont plus des anomalies à résoudre, mais des moteurs à activer. Et c’est pourquoi la pensée latourienne est l’un des rares corpus philosophiques contemporains à intégrer pleinement ce que nous appelons les </w:t>
      </w:r>
      <w:r>
        <w:rPr>
          <w:i/>
          <w:iCs/>
        </w:rPr>
        <w:t>tensions de deuxième degré</w:t>
      </w:r>
      <w:r>
        <w:rPr/>
        <w:t xml:space="preserve"> — c’est-à-dire non plus simplement des oppositions idéologiques (droite/gauche, autorité/liberté), mais des conflits ontologiques : </w:t>
      </w:r>
      <w:r>
        <w:rPr>
          <w:i/>
          <w:iCs/>
        </w:rPr>
        <w:t>entre ce qui compte comme réel, ce qui vaut comme légitime, ce qui est reconnu comme existant</w:t>
      </w:r>
      <w:r>
        <w:rPr/>
        <w:t xml:space="preserve">. À l’heure des controverses sur le climat, sur les identités, sur les sciences, sur la mémoire, sur les vies habitables, la pensée de Latour permet de penser le politique comme un théâtre de l’incommensurable mis en forme — non pas effacé, mais </w:t>
      </w:r>
      <w:r>
        <w:rPr>
          <w:i/>
          <w:iCs/>
        </w:rPr>
        <w:t>rendu visible, écoutable, argumentable</w:t>
      </w:r>
      <w:r>
        <w:rPr/>
        <w:t>.</w:t>
      </w:r>
    </w:p>
    <w:p>
      <w:pPr>
        <w:pStyle w:val="BodyText"/>
        <w:rPr/>
      </w:pPr>
      <w:r>
        <w:rPr/>
        <w:t xml:space="preserve">Et ce point est crucial pour notre dispositif critique : la régulation distribuée proposée par Latour pense simultanément une conception de la </w:t>
      </w:r>
      <w:r>
        <w:rPr>
          <w:i/>
          <w:iCs/>
        </w:rPr>
        <w:t>cratialité</w:t>
      </w:r>
      <w:r>
        <w:rPr/>
        <w:t xml:space="preserve"> (les puissances d’agir, les affects, les volontés distribuées), une configuration de l’</w:t>
      </w:r>
      <w:r>
        <w:rPr>
          <w:i/>
          <w:iCs/>
        </w:rPr>
        <w:t>arcalité</w:t>
      </w:r>
      <w:r>
        <w:rPr/>
        <w:t xml:space="preserve"> (les ordres composés, les formats d’attestation, les chaînes de médiation), et une modalité d’</w:t>
      </w:r>
      <w:r>
        <w:rPr>
          <w:i/>
          <w:iCs/>
        </w:rPr>
        <w:t>archicration</w:t>
      </w:r>
      <w:r>
        <w:rPr/>
        <w:t xml:space="preserve"> (la production située, réversible, polyphonique d’un monde viable). La tension entre ces trois pôles n’est jamais neutralisée — elle est </w:t>
      </w:r>
      <w:r>
        <w:rPr>
          <w:i/>
          <w:iCs/>
        </w:rPr>
        <w:t>cultivée</w:t>
      </w:r>
      <w:r>
        <w:rPr/>
        <w:t xml:space="preserve">, </w:t>
      </w:r>
      <w:r>
        <w:rPr>
          <w:i/>
          <w:iCs/>
        </w:rPr>
        <w:t>scénarisée</w:t>
      </w:r>
      <w:r>
        <w:rPr/>
        <w:t xml:space="preserve">, </w:t>
      </w:r>
      <w:r>
        <w:rPr>
          <w:i/>
          <w:iCs/>
        </w:rPr>
        <w:t>orchestrée</w:t>
      </w:r>
      <w:r>
        <w:rPr/>
        <w:t xml:space="preserve">. Le degré de co-viabilité que Latour autorise n’est ni utopique ni technocratique : il est </w:t>
      </w:r>
      <w:r>
        <w:rPr>
          <w:i/>
          <w:iCs/>
        </w:rPr>
        <w:t>opératoire</w:t>
      </w:r>
      <w:r>
        <w:rPr/>
        <w:t xml:space="preserve">, </w:t>
      </w:r>
      <w:r>
        <w:rPr>
          <w:i/>
          <w:iCs/>
        </w:rPr>
        <w:t>expérimental</w:t>
      </w:r>
      <w:r>
        <w:rPr/>
        <w:t xml:space="preserve">, </w:t>
      </w:r>
      <w:r>
        <w:rPr>
          <w:i/>
          <w:iCs/>
        </w:rPr>
        <w:t>fragile</w:t>
      </w:r>
      <w:r>
        <w:rPr/>
        <w:t xml:space="preserve">, </w:t>
      </w:r>
      <w:r>
        <w:rPr>
          <w:i/>
          <w:iCs/>
        </w:rPr>
        <w:t>ajusté</w:t>
      </w:r>
      <w:r>
        <w:rPr/>
        <w:t xml:space="preserve">, mais surtout </w:t>
      </w:r>
      <w:r>
        <w:rPr>
          <w:i/>
          <w:iCs/>
        </w:rPr>
        <w:t>scénique</w:t>
      </w:r>
      <w:r>
        <w:rPr/>
        <w:t xml:space="preserve"> — au sens où chaque format de régulation doit pouvoir être </w:t>
      </w:r>
      <w:r>
        <w:rPr>
          <w:i/>
          <w:iCs/>
        </w:rPr>
        <w:t>mis en scène</w:t>
      </w:r>
      <w:r>
        <w:rPr/>
        <w:t xml:space="preserve">, </w:t>
      </w:r>
      <w:r>
        <w:rPr>
          <w:i/>
          <w:iCs/>
        </w:rPr>
        <w:t>mis en débat</w:t>
      </w:r>
      <w:r>
        <w:rPr/>
        <w:t xml:space="preserve">, </w:t>
      </w:r>
      <w:r>
        <w:rPr>
          <w:i/>
          <w:iCs/>
        </w:rPr>
        <w:t>mis à l’épreuve</w:t>
      </w:r>
      <w:r>
        <w:rPr/>
        <w:t xml:space="preserve">. C’est une philosophie de la </w:t>
      </w:r>
      <w:r>
        <w:rPr>
          <w:i/>
          <w:iCs/>
        </w:rPr>
        <w:t>visibilité régulatrice</w:t>
      </w:r>
      <w:r>
        <w:rPr/>
        <w:t xml:space="preserve">, dans la lignée d’Arendt, mais </w:t>
      </w:r>
      <w:r>
        <w:rPr>
          <w:i/>
          <w:iCs/>
        </w:rPr>
        <w:t>distribuée dans les agencements techniques, affectifs, écologiques, scientifiques du contemporain</w:t>
      </w:r>
      <w:r>
        <w:rPr/>
        <w:t>.</w:t>
      </w:r>
    </w:p>
    <w:p>
      <w:pPr>
        <w:pStyle w:val="BodyText"/>
        <w:rPr/>
      </w:pPr>
      <w:r>
        <w:rPr/>
        <w:t>Reste que cette ressource latourienne ne suffit pas à elle seule. Car si elle rend visible l’hétérogénéité des actants, la pluralité des attachements et la nécessité des scènes de composition, elle laisse plus incertaine la question de la stabilisation différenciée des seuils de contestation, de l’inégale capacité des existences à comparaître, et des conditions sous lesquelles une scène peut devenir effectivement opposable et non simplement descriptive de controverses. C’est en ce point précis que l’archicratie doit prendre le relais : non pour corriger Latour de l’extérieur, mais pour durcir la question de la reprise politique des scènes qu’il a si puissamment contribué à rouvrir.</w:t>
      </w:r>
    </w:p>
    <w:p>
      <w:pPr>
        <w:pStyle w:val="BodyText"/>
        <w:rPr/>
      </w:pPr>
      <w:r>
        <w:rPr/>
        <w:t xml:space="preserve">Ce que l’archicratie ajoute, à ce stade, c’est une formalisation plus explicite de la régulation comme </w:t>
      </w:r>
      <w:r>
        <w:rPr>
          <w:i/>
          <w:iCs/>
        </w:rPr>
        <w:t>mise en tension réglée</w:t>
      </w:r>
      <w:r>
        <w:rPr/>
        <w:t xml:space="preserve"> : il ne s’agit pas seulement de cartographier les régimes d’existence, mais de concevoir les conditions de leur mise en forme conjointe dans une scène partagée — c’est-à-dire </w:t>
      </w:r>
      <w:r>
        <w:rPr>
          <w:i/>
          <w:iCs/>
        </w:rPr>
        <w:t>dans un monde commun</w:t>
      </w:r>
      <w:r>
        <w:rPr/>
        <w:t xml:space="preserve">, </w:t>
      </w:r>
      <w:r>
        <w:rPr>
          <w:i/>
          <w:iCs/>
        </w:rPr>
        <w:t>mais non homogène</w:t>
      </w:r>
      <w:r>
        <w:rPr/>
        <w:t xml:space="preserve">. Le monde commun n’est pas un donné : c’est </w:t>
      </w:r>
      <w:r>
        <w:rPr>
          <w:i/>
          <w:iCs/>
        </w:rPr>
        <w:t>un artefact, une performance, une construction toujours en chantier</w:t>
      </w:r>
      <w:r>
        <w:rPr/>
        <w:t xml:space="preserve">. Et c’est cette fragilité fondatrice, cette vulnérabilité structurante, cette tension irréductible entre les régimes, que la pensée archicratique, inspirée de Latour, entend prendre pour </w:t>
      </w:r>
      <w:r>
        <w:rPr>
          <w:i/>
          <w:iCs/>
        </w:rPr>
        <w:t>principe régulateur majeur du vivre-ensemble</w:t>
      </w:r>
      <w:r>
        <w:rPr/>
        <w:t>.</w:t>
      </w:r>
    </w:p>
    <w:p>
      <w:pPr>
        <w:pStyle w:val="BodyText"/>
        <w:rPr/>
      </w:pPr>
      <w:r>
        <w:rPr/>
        <w:t>Cette cosmopolitique atteint chez Latour une portée plus systématique encore avec l’Enquête sur les modes d’existence, où il propose de penser non des substances ou des domaines clos, mais des régimes d’être définis par leurs modalités d’épreuve, leurs formats de validation et leurs institutions d’attestation. L’enjeu n’est plus de reconduire une ontologie unitaire, mais d’organiser la co-présence de régimes hétérogènes sans les rabattre les uns sur les autres. C’est là un apport décisif pour l’archicratie : la régulation n’y est plus recherche d’un principe supérieur d’unification, mais orchestration de pluralités irréductibles dans une scène partagée d’ajustement, de traduction et de confrontation.</w:t>
      </w:r>
    </w:p>
    <w:p>
      <w:pPr>
        <w:pStyle w:val="BodyText"/>
        <w:rPr/>
      </w:pPr>
      <w:r>
        <w:rPr/>
        <w:t>Le monde commun cesse alors d’être un donné : il devient une construction fragile, expérimentale, toujours disputée. La régulation ne consiste plus à imposer une norme universelle, mais à rendre praticable la coexistence d’acteurs, d’êtres et de régimes de réalité qui n’entrent pas spontanément en compatibilité. C’est en ce sens que la pensée latourienne rejoint au plus près notre problématique : elle fait de la co-viabilité non un état, mais un travail de composition.</w:t>
      </w:r>
    </w:p>
    <w:p>
      <w:pPr>
        <w:pStyle w:val="BodyText"/>
        <w:rPr/>
      </w:pPr>
      <w:r>
        <w:rPr/>
        <w:t>Le porte-parolat concentre ici l’un des enjeux les plus aigus de la pensée latourienne. Dans un monde peuplé d’actants hétérogènes, les entités ne parlent pas d’elles-mêmes : elles doivent être rendues présentes, défendues, traduites, exposées par d’autres. Dès lors, la délégation n’est jamais neutre : elle engage des chaînes de médiation, des formats d’épreuve et des conflits de légitimité quant à la question décisive du “qui parle au nom de quoi”. C’est à ce niveau que la scène archicratique devient pleinement visible : non comme lieu d’un consensus final, mais comme espace où la légitimité doit sans cesse être produite, contestée et rejouée.</w:t>
      </w:r>
    </w:p>
    <w:p>
      <w:pPr>
        <w:pStyle w:val="BodyText"/>
        <w:rPr/>
      </w:pPr>
      <w:r>
        <w:rPr/>
        <w:t>Latour nous donne ainsi une pensée de la régulation sans souveraineté, sans centre et sans origine, mais non sans forme. La scène politique y devient composition réglée de conflits de légitimation, et l’indécidabilité elle-même cesse d’être un défaut pour devenir une condition structurante du monde commun. Ce que l’Archicratie explicite davantage que lui, c’est la nécessité de formaliser cette composition comme tension réglée entre arcalité, cratialité et archicration. Mais l’impulsion latourienne demeure décisive : elle permet de penser la co-viabilité comme travail d’ajustement entre des existants hétérogènes, et non comme reconduction d’un ordre déjà donné.</w:t>
      </w:r>
    </w:p>
    <w:p>
      <w:pPr>
        <w:pStyle w:val="BodyText"/>
        <w:rPr/>
      </w:pPr>
      <w:r>
        <w:rPr/>
        <w:t>Et c’est en cela que Bruno Latour, sans jamais employer le terme, fut l’un des penseurs les plus pleinement archicratiques de notre temps.</w:t>
      </w:r>
    </w:p>
    <w:p>
      <w:pPr>
        <w:pStyle w:val="Heading3"/>
        <w:numPr>
          <w:ilvl w:val="2"/>
          <w:numId w:val="2"/>
        </w:numPr>
        <w:rPr/>
      </w:pPr>
      <w:r>
        <w:rPr/>
        <w:t xml:space="preserve">3.4.4 — Cosmopolitique, ralentissement, épreuves situées — </w:t>
      </w:r>
      <w:r>
        <w:rPr>
          <w:i/>
          <w:iCs/>
        </w:rPr>
        <w:t>une régulation critiquée</w:t>
      </w:r>
    </w:p>
    <w:p>
      <w:pPr>
        <w:pStyle w:val="BodyText"/>
        <w:rPr/>
      </w:pPr>
      <w:r>
        <w:rPr/>
        <w:t>La pensée d’Isabelle Stengers ne s’avance ni comme doctrine, ni comme système, ni comme architecture de régulation prête à l’emploi. Elle procède par ralentissement, par attention aux situations, par résistance aux cadres d’intelligibilité qui prétendent décider trop vite de ce qui compte. En ce sens, sa cosmopolitique ne relève ni d’un supplément moral ni d’une posture critique décorative : elle constitue une matrice de vigilance destinée à rendre perceptibles les existants, les voix et les épreuves que les régimes dominants de rationalisation tendent à disqualifier.</w:t>
      </w:r>
    </w:p>
    <w:p>
      <w:pPr>
        <w:pStyle w:val="BodyText"/>
        <w:rPr/>
      </w:pPr>
      <w:r>
        <w:rPr/>
        <w:t>Là où d’autres pensent la composition du commun à partir d’un principe, d’un système ou d’un réseau, Stengers part des situations elles-mêmes, de leur fragilité, de leurs résistances, de ce qu’elles exigent pour ne pas être réduites à des cas déjà codés. La régulation y devient alors une pratique d’écoute et de retenue, un art de faire place à ce qui n’entre pas spontanément dans les schémas de décision disponibles. C’est cette pragmatique des écarts, plus que toute doctrine stabilisée, qui rend sa pensée particulièrement féconde pour une lecture archicratique.</w:t>
      </w:r>
    </w:p>
    <w:p>
      <w:pPr>
        <w:pStyle w:val="BodyText"/>
        <w:rPr/>
      </w:pPr>
      <w:r>
        <w:rPr/>
        <w:t>Dans cette perspective, la régulation ne relève plus d’un pouvoir de pilotage ni d’un cadre décisionnel surplombant, mais d’un agir pragmatique de co-présence entre entités affectées, humaines ou non, dont aucune ne peut légitimement occuper la position d’une extériorité souveraine. Ce que Stengers nomme ralentissement n’est ni renoncement ni passivité : c’est un geste cratial majeur, une puissance de suspension capable de désamorcer les automatismes de capture, de différer les clôtures prématurées, et d’ouvrir des intervalles où ce qui résiste peut enfin devenir perceptible, recevable et politiquement opérant.</w:t>
      </w:r>
    </w:p>
    <w:p>
      <w:pPr>
        <w:pStyle w:val="BodyText"/>
        <w:rPr/>
      </w:pPr>
      <w:r>
        <w:rPr/>
        <w:t>C’est pourquoi sa critique de la capture managériale est décisive. Elle montre comment l’efficacité technocratique réduit la complexité, impose le silence aux voix dissonantes et ferme les possibles au nom de la gestion. À cette fermeture, Stengers oppose non une inefficacité romantique, mais une hospitalité méthodologique : une pratique d’attention vigilante où l’enjeu n’est plus de maîtriser, mais de tenir ensemble sans précipiter la décision. La cratialité y devient post-souveraine, diffuse, non conquérante ; l’arcalité, située et non transcendante ; l’archicration, enfin, résolument pragmatique, expérimentale et lente.</w:t>
      </w:r>
    </w:p>
    <w:p>
      <w:pPr>
        <w:pStyle w:val="BodyText"/>
        <w:rPr/>
      </w:pPr>
      <w:r>
        <w:rPr/>
        <w:t>La force de cette pensée est considérable : elle rend possible une co-viabilité qui ne cherche ni harmonie, ni synthèse, ni convergence forcée, mais la composition patiente d’un monde commun avec l’incommensurable. Sa limite est corrélative : elle formalise peu les dispositifs, les seuils institutionnels et les architectures par lesquels une telle régulation pourrait durablement se soutenir à grande échelle. Stengers offre ainsi à l’Archicratie une exigence décisive — ralentir pour rendre justice à ce qui résiste — sans encore en livrer toute l’ingénierie politique.</w:t>
      </w:r>
    </w:p>
    <w:p>
      <w:pPr>
        <w:pStyle w:val="BodyText"/>
        <w:rPr/>
      </w:pPr>
      <w:r>
        <w:rPr/>
        <w:t>Cette réserve ne diminue pourtant pas la portée stratégique de son apport. Car Stengers déplace décisivement la question de la régulation vers les scènes où l’on décide trop vite de ce qui mérite d’être entendu, pris en compte ou même reconnu comme existant. Son geste devient alors archicratiquement structurant : il oblige à penser non seulement les formes explicites de la délibération, mais aussi les seuils antérieurs de recevabilité, les conditions sous lesquelles une voix, un être, un savoir ou une vulnérabilité peuvent accéder à l’épreuve commune. En ce sens, sa cosmopolitique ne fournit pas un modèle de composition déjà stabilisé ; elle impose une discipline de vigilance sans laquelle toute régulation risque de se retourner en capture. C’est pourquoi son œuvre doit être comprise moins comme une théorie complète de la co-viabilité que comme une exigence critique interne à toute archicration digne de ce nom : ralentir assez pour que le commun ne se constitue pas au prix de ce qu’il exclut silencieusement.</w:t>
      </w:r>
    </w:p>
    <w:p>
      <w:pPr>
        <w:pStyle w:val="Heading3"/>
        <w:numPr>
          <w:ilvl w:val="2"/>
          <w:numId w:val="2"/>
        </w:numPr>
        <w:rPr/>
      </w:pPr>
      <w:r>
        <w:rPr/>
        <w:t xml:space="preserve">3.4.5 — Dialogue, complexité, auto-éco-régulation — </w:t>
      </w:r>
      <w:r>
        <w:rPr>
          <w:i/>
          <w:iCs/>
        </w:rPr>
        <w:t>une régulation comme écologie du lien</w:t>
      </w:r>
    </w:p>
    <w:p>
      <w:pPr>
        <w:pStyle w:val="BodyText"/>
        <w:rPr/>
      </w:pPr>
      <w:r>
        <w:rPr/>
        <w:t>La pensée d’Edgar Morin introduit dans cette section une inflexion décisive : elle ne cherche ni à fonder l’ordre, ni à en dévoiler les structures cachées, ni à en cartographier les compositions, mais à comprendre comment des hétérogénéités irréductibles peuvent néanmoins être maintenues ensemble sans être simplifiées. La régulation n’y est plus conçue comme application d’un principe ni comme effet d’un dispositif, mais comme organisation instable de tensions au sein de systèmes ouverts.</w:t>
      </w:r>
    </w:p>
    <w:p>
      <w:pPr>
        <w:pStyle w:val="BodyText"/>
        <w:rPr/>
      </w:pPr>
      <w:r>
        <w:rPr/>
        <w:t>Le cœur de l’apport morinien réside dans le refus de toute réduction unilatérale du réel. Là où les approches classiques isolent ou hiérarchisent, Morin insiste sur la nécessité de maintenir ensemble des dimensions antagonistes — ordre et désordre, autonomie et dépendance, identité et altérité — dans une relation qu’il nomme dialogique. La régulation ne consiste donc plus à supprimer le conflit ni à produire une synthèse stable, mais à rendre possible la tenue simultanée de logiques incompatibles sans qu’elles se neutralisent mutuellement.</w:t>
      </w:r>
    </w:p>
    <w:p>
      <w:pPr>
        <w:pStyle w:val="BodyText"/>
        <w:rPr/>
      </w:pPr>
      <w:r>
        <w:rPr/>
        <w:t>Relue à partir du paradigme archicratique, cette pensée permet de préciser trois déplacements majeurs. L’arcalité n’y est plus un fondement stable, mais une orientation évolutive, constamment reconfigurée par les interactions du système. La cratialité ne se présente plus comme force unitaire ou conquérante, mais comme multiplicité de puissances hétérogènes dont aucune ne peut prétendre à la domination totale sans produire de déséquilibre. L’archicration, enfin, ne se réduit ni à une décision ni à une procédure : elle devient capacité d’organisation des tensions elles-mêmes, c’est-à-dire aptitude à maintenir un système viable sans en supprimer les contradictions constitutives.</w:t>
      </w:r>
    </w:p>
    <w:p>
      <w:pPr>
        <w:pStyle w:val="BodyText"/>
        <w:rPr/>
      </w:pPr>
      <w:r>
        <w:rPr/>
        <w:t>Une telle lecture permet de comprendre ce que Morin apporte de singulier à une pensée archicratique de la régulation. Là où d’autres approches s’efforcent encore de résoudre les oppositions, il montre qu’un système vivant ou social ne demeure viable qu’à la condition de transformer ses contradictions en ressources d’organisation. La régulation n’y vaut donc ni comme restauration d’un ordre antérieur, ni comme neutralisation des écarts, mais comme travail constant de composition entre des dynamiques qui ne coïncident pas spontanément. En ce sens, la dialogique morinienne ne se réduit pas à une célébration abstraite de la complexité : elle fournit une manière de penser la tenue d’un monde commun lorsque les logiques qui le traversent demeurent irréductiblement hétérogènes.</w:t>
      </w:r>
    </w:p>
    <w:p>
      <w:pPr>
        <w:pStyle w:val="BodyText"/>
        <w:rPr/>
      </w:pPr>
      <w:r>
        <w:rPr/>
        <w:t>La force d’un tel déplacement est considérable. Morin permet de penser la co-viabilité non comme harmonie ni comme simple survie, mais comme entretien dynamique de tensions internes au sein de systèmes ouverts. Il devient ainsi possible de concevoir une régulation capable d’intégrer l’incertitude, la conflictualité et l’instabilité sans les réduire à des anomalies.</w:t>
      </w:r>
    </w:p>
    <w:p>
      <w:pPr>
        <w:pStyle w:val="BodyText"/>
        <w:rPr/>
      </w:pPr>
      <w:r>
        <w:rPr/>
        <w:t xml:space="preserve">Et c’est précisément ici que la pensée de Morin se distingue par son applicabilité stratégique : là où Stengers suspend pour mieux entendre, Morin </w:t>
      </w:r>
      <w:r>
        <w:rPr>
          <w:i/>
          <w:iCs/>
        </w:rPr>
        <w:t>tisse pour mieux composer</w:t>
      </w:r>
      <w:r>
        <w:rPr/>
        <w:t xml:space="preserve">. Car il est l’un des rares penseurs à avoir intégré la complexité dans un horizon de transformation politique, institutionnelle, éducative. Son </w:t>
      </w:r>
      <w:r>
        <w:rPr>
          <w:i/>
          <w:iCs/>
        </w:rPr>
        <w:t>éthique de reliance</w:t>
      </w:r>
      <w:r>
        <w:rPr/>
        <w:t xml:space="preserve"> ne se contente pas de décrire le monde dans sa pluralité irréductible : elle s’efforce de produire des outils pour le penser, pour l’habiter, pour le transformer sans le mutiler. Ce qui rend sa contribution archicratique décisive, c’est sa capacité à </w:t>
      </w:r>
      <w:r>
        <w:rPr>
          <w:i/>
          <w:iCs/>
        </w:rPr>
        <w:t>connecter les régimes de rationalité sans les soumettre</w:t>
      </w:r>
      <w:r>
        <w:rPr/>
        <w:t xml:space="preserve">, à </w:t>
      </w:r>
      <w:r>
        <w:rPr>
          <w:i/>
          <w:iCs/>
        </w:rPr>
        <w:t>orchestrer la diversité sans l’absorber</w:t>
      </w:r>
      <w:r>
        <w:rPr/>
        <w:t xml:space="preserve">, à </w:t>
      </w:r>
      <w:r>
        <w:rPr>
          <w:i/>
          <w:iCs/>
        </w:rPr>
        <w:t>moduler les régulations sans les figer</w:t>
      </w:r>
      <w:r>
        <w:rPr/>
        <w:t>.</w:t>
      </w:r>
    </w:p>
    <w:p>
      <w:pPr>
        <w:pStyle w:val="BodyText"/>
        <w:rPr/>
      </w:pPr>
      <w:r>
        <w:rPr/>
        <w:t>C’est aussi ce qui donne à sa pensée une portée politique spécifique. Morin ne se contente pas de reconnaître l’interdépendance des dimensions biologique, sociale, technique, symbolique ou institutionnelle ; il oblige à penser leurs enchevêtrements comme des problèmes de composition active. La régulation devient alors écologie du lien : non une fusion harmonieuse des différences, mais une capacité à maintenir des rapports entre des niveaux de réalité distincts, à faire circuler des rétroactions entre eux, et à éviter qu’une logique unique n’écrase toutes les autres. Cette perspective est précieuse pour l’Archicratie, car elle permet de concevoir la co-viabilité non comme équilibre figé, mais comme entretien réflexif d’un monde ouvert, exposé aux bifurcations, aux crises et aux réajustements.</w:t>
      </w:r>
    </w:p>
    <w:p>
      <w:pPr>
        <w:pStyle w:val="BodyText"/>
        <w:rPr/>
      </w:pPr>
      <w:r>
        <w:rPr/>
        <w:t>C’est précisément à ce point que la pensée morinienne devient stratégiquement précieuse pour l’Archicratie. Elle ne fournit pas un modèle de régulation achevé, mais une grammaire pour penser comment des tensions hétérogènes peuvent être tenues ensemble sans être simplifiées. Là où d’autres cherchent la stabilité par réduction, Morin impose de penser la viabilité comme capacité d’un système à intégrer ses propres déséquilibres, ses bifurcations et ses contradictions.</w:t>
      </w:r>
    </w:p>
    <w:p>
      <w:pPr>
        <w:pStyle w:val="BodyText"/>
        <w:rPr/>
      </w:pPr>
      <w:r>
        <w:rPr/>
        <w:t>Ce que cette traversée a permis d’établir, c’est que la régulation dialogique ne constitue ni un supplément moral appliqué à des dispositifs préexistants, ni une simple correction délibérative des régimes unilatéraux, mais une modalité propre de structuration du vivre-ensemble. Elle déplace la scène même où se jouent la légitimité, la décision et la reconnaissance : la normativité n’y procède plus d’un fondement transcendant, d’une centralité souveraine ou d’un dispositif d’optimisation, mais d’un travail situé d’exposition mutuelle, de justification, d’ajustement et de composition entre entités hétérogènes.</w:t>
      </w:r>
    </w:p>
    <w:p>
      <w:pPr>
        <w:pStyle w:val="BodyText"/>
        <w:rPr/>
      </w:pPr>
      <w:r>
        <w:rPr/>
        <w:t>De Montesquieu à Morin, les pensées ici mobilisées ont montré, chacune à leur manière, qu’il est possible de soustraire la régulation à la capture par une source unique de légitimité sans la dissoudre pour autant dans l’informalité. Elles dessinent un espace où la puissance devient distribuée, où l’arcalité cesse d’être transcendante pour devenir située, révisable, pluralisée, et où l’archicration prend la forme d’une scène d’épreuve construite dans la confrontation visible des justifications, des existants et des régimes de valeur. En ce sens, elles constituent de véritables laboratoires conceptuels pour penser une co-viabilité fondée non sur la fusion des perspectives, mais sur leur mise en tension réglée.</w:t>
      </w:r>
    </w:p>
    <w:p>
      <w:pPr>
        <w:pStyle w:val="BodyText"/>
        <w:rPr/>
      </w:pPr>
      <w:r>
        <w:rPr/>
        <w:t>Mais cette fécondité rencontre une limite décisive. Si ces pensées décentrent avec force les monopoles de la normativité, elles laissent souvent en suspens les conditions d’institutionnalisation concrète de cette distribution : les formats durables d’épreuve, les médiations stabilisées, les scènes effectives dans lesquelles une pluralité de voix, de forces et de légitimités pourrait non seulement s’exposer, mais se transformer sans être recapturée. L’archicration ne peut donc se satisfaire d’un ethos dialogique ni d’un simple appel à la pluralité ; elle requiert une véritable architecture politique du dissensus habitable, capable de configurer des lieux, des temporalités et des procédures où les divergences deviennent opératoires sans être neutralisées.</w:t>
      </w:r>
    </w:p>
    <w:p>
      <w:pPr>
        <w:pStyle w:val="BodyText"/>
        <w:rPr/>
      </w:pPr>
      <w:r>
        <w:rPr/>
        <w:t>C’est pourquoi cette séquence ne clôt pas l’investigation archicratique : elle en prépare un approfondissement déterminant. Car dès lors que la régulation dialogique suppose déjà des formats d’exposition, des règles de recevabilité et des scènes de confrontation, un nouveau plan d’analyse s’impose : celui des régimes procéduraux et délibératifs proprement dits, où la parole ne se contente plus d’être échangée, mais doit être mise en forme, en scène et en procédure. La section suivante interrogera donc ces régimes d’ouverture scénique, afin de comprendre comment la délibération publique tente d’instituer la co-viabilité — et pourquoi, là encore, toute scène ne vaut pas épreuve, toute procédure ne vaut pas opposabilité, et toute délibération ne vaut pas régulation viable.</w:t>
      </w:r>
    </w:p>
    <w:p>
      <w:pPr>
        <w:pStyle w:val="Heading2"/>
        <w:numPr>
          <w:ilvl w:val="1"/>
          <w:numId w:val="2"/>
        </w:numPr>
        <w:rPr/>
      </w:pPr>
      <w:r>
        <w:rPr>
          <w:b/>
          <w:bCs/>
        </w:rPr>
        <w:t xml:space="preserve">3.5 — Régimes délibératifs et ouvertures scéniques — </w:t>
      </w:r>
      <w:r>
        <w:rPr>
          <w:b/>
          <w:bCs/>
          <w:i/>
          <w:iCs/>
        </w:rPr>
        <w:t>puissance procédurale</w:t>
      </w:r>
    </w:p>
    <w:p>
      <w:pPr>
        <w:pStyle w:val="BodyText"/>
        <w:rPr/>
      </w:pPr>
      <w:r>
        <w:rPr/>
        <w:t>L’idée que la délibération constitue l’un des piliers de la vie démocratique s’est imposée comme l’un des grands horizons normatifs de la modernité politique. Mais cet idéal demeure profondément équivoque. Car il ne suffit pas que la parole circule pour qu’il y ait régulation, pas plus qu’il ne suffit qu’une procédure organise l’échange pour qu’une scène politique advienne. Entre discussion, délibération et régulation, l’écart reste important.</w:t>
      </w:r>
    </w:p>
    <w:p>
      <w:pPr>
        <w:pStyle w:val="BodyText"/>
        <w:rPr/>
      </w:pPr>
      <w:r>
        <w:rPr/>
        <w:t>C’est cet écart que la présente section entend interroger. Dans une perspective archicratique, une scène délibérative ne devient politiquement régulatrice qu’à certaines conditions : qu’elle repose sur une arcalité explicite et partageable, qu’elle engage une cratialité réelle capable de produire des effets sur l’ordre commun, et qu’elle donne lieu à une archicration, c’est-à-dire à une mise en tension visible, habitable et transformatrice de ces deux dimensions. Or les régimes délibératifs modernes et contemporains échouent souvent à réunir ces conditions : tantôt ils neutralisent la conflictualité au nom de la forme, tantôt ils célèbrent l’ouverture sans lui donner de prise effective, tantôt ils multiplient les scènes sans les articuler à une véritable architecture de transformation.</w:t>
      </w:r>
    </w:p>
    <w:p>
      <w:pPr>
        <w:pStyle w:val="BodyText"/>
        <w:rPr/>
      </w:pPr>
      <w:r>
        <w:rPr/>
        <w:t>Nous en proposerons donc une cartographie critique en quatre temps : d’abord la régulation bureaucratique et légale-formelle, où la procédure tend à remplacer l’épreuve ; ensuite la pensée du lieu vide du pouvoir, où l’ouverture démocratique risque de se dissoudre dans la désincarnation ; puis les régimes du dissensus, où la conflictualité redevient visible sans toujours devenir instituante ; enfin les dispositifs expérimentaux contemporains, qui tentent d’ouvrir des scènes nouvelles sans toujours parvenir à leur donner consistance. L’enjeu n’est pas de produire une théorie générale de la délibération, mais d’éprouver chaque régime à l’aune d’une exigence simple et décisive : non pas faire parler, mais faire en sorte que la parole devienne régulatrice.</w:t>
      </w:r>
    </w:p>
    <w:p>
      <w:pPr>
        <w:pStyle w:val="Heading3"/>
        <w:numPr>
          <w:ilvl w:val="2"/>
          <w:numId w:val="2"/>
        </w:numPr>
        <w:rPr/>
      </w:pPr>
      <w:r>
        <w:rPr/>
        <w:t xml:space="preserve">3.5.1 — Bureaucratie et légalité formelle : </w:t>
      </w:r>
      <w:r>
        <w:rPr>
          <w:i/>
          <w:iCs/>
        </w:rPr>
        <w:t>une régulation voulue impartiale</w:t>
      </w:r>
    </w:p>
    <w:p>
      <w:pPr>
        <w:pStyle w:val="BodyText"/>
        <w:rPr/>
      </w:pPr>
      <w:r>
        <w:rPr/>
        <w:t>La modernité politique a fait émerger une forme spécifique de régulation que l’on peut qualifier, dans le vocabulaire archicratique, de régime de formalisation impersonnelle. Sa promesse est connue : garantir l’équité du traitement, la prévisibilité des décisions et la neutralité de l’arène publique par l’application de règles générales, abstraites et stables. Weber en a donné la formulation canonique avec l’idéal-type de la bureaucratie légale-rationnelle. Kelsen en a radicalisé la logique dans la théorie d’un ordre juridique auto-référentiel, fondé sur la seule validité formelle des normes. Hart, enfin, en a proposé une version plus souple, mais toujours centrée sur la régularité procédurale comme condition de fonctionnement du droit.</w:t>
      </w:r>
    </w:p>
    <w:p>
      <w:pPr>
        <w:pStyle w:val="BodyText"/>
        <w:rPr/>
      </w:pPr>
      <w:r>
        <w:rPr/>
        <w:t>Ce modèle a représenté un progrès historique réel contre l’arbitraire, les privilèges et les régimes personnalisés de domination. Mais il comporte une limite politique décisive : à mesure que la légitimité est rabattue sur la conformité procédurale, la régulation cesse d’être une scène d’épreuve pour devenir un système de traitement normatif. La légalité ne procède plus du conflit exposé, mais de la validité formelle ; le pouvoir ne disparaît pas, il s’incarne dans la procédure elle-même. C’est pourquoi la bureaucratie moderne, comme l’avait vu Bourdieu, ne neutralise pas le pouvoir : elle le déplace dans une forme impersonnelle qui tend à rendre sa violence moins visible et plus difficilement contestable.</w:t>
      </w:r>
    </w:p>
    <w:p>
      <w:pPr>
        <w:pStyle w:val="BodyText"/>
        <w:rPr/>
      </w:pPr>
      <w:r>
        <w:rPr/>
        <w:t>Les institutions bureaucratiques offrent bien des scènes — guichets, tribunaux, commissions, conseils — mais ces scènes sont le plus souvent pré-cadrées par des formats d’accès, de langage et de recevabilité qui conditionnent en amont ce qui peut apparaître. Ce qui est autorisé à se dire n’est plus une conflictualité vivante, mais une demande déjà traduite dans le langage de la procédure. Comme l’indique Jacques Lagroye, dans les arènes bureaucratiques, ce qui se discute est d’abord la conformité de la demande aux formes reconnues, non la légitimité de son contenu.</w:t>
      </w:r>
    </w:p>
    <w:p>
      <w:pPr>
        <w:pStyle w:val="BodyText"/>
        <w:rPr/>
      </w:pPr>
      <w:r>
        <w:rPr/>
        <w:t>Les exemples administratifs le montrent clairement : dans les commissions d’attribution, les juridictions administratives ou les dispositifs d’évaluation standardisée, les situations singulières ne deviennent audibles qu’à condition d’entrer dans des catégories préétablies. Si le sujet conteste le critère lui-même, le barème, le format, ou les termes de sa propre évaluation, sa parole tend à sortir du champ du recevable. Le dissensus n’est pas interdit ; il est reformulé en incompétence procédurale, hors-sujet ou défaut de forme. L’accès à la scène n’est donc jamais neutre : il suppose une maîtrise préalable des langages légitimes, socialement inégalement distribuée, comme l’ont montré Bourdieu et Crozier.</w:t>
      </w:r>
    </w:p>
    <w:p>
      <w:pPr>
        <w:pStyle w:val="BodyText"/>
        <w:rPr/>
      </w:pPr>
      <w:r>
        <w:rPr/>
        <w:t>C’est ici que se révèle la fermeture propre au régime procédural. Le problème n’est pas la forme en soi, mais son durcissement en norme close, insensible à sa propre historicité et résistante à toute critique de ses conditions de validité. Dès lors, la procédure ne sert plus d’instrument d’accès à l’épreuve politique ; elle devient le filtre silencieux de ce qui peut être contesté. La scène subsiste, mais comme scène saturée : elle simule l’épreuve tout en verrouillant les conditions d’une transformation réelle du cadre.</w:t>
      </w:r>
    </w:p>
    <w:p>
      <w:pPr>
        <w:pStyle w:val="BodyText"/>
        <w:rPr/>
      </w:pPr>
      <w:r>
        <w:rPr/>
        <w:t>Le cœur du problème apparaît alors avec netteté : lorsque la procédure prétend constituer à elle seule la scène de la régulation, elle tend à convertir le conflit en simple objet de traitement. Garapon l’a montré pour le rituel judiciaire ; Foucault l’avait déjà analysé plus largement dans la gouvernementalité moderne : le pouvoir ne s’exerce pas d’abord en interdisant, mais en configurant les conditions d’apparition des sujets, des plaintes et des prises de parole. La forme procédurale participe pleinement de cette logique. Elle rend certaines demandes visibles, mais à la condition de les reformater ; elle autorise l’expression, mais dans un langage déjà codé ; elle produit une scène, mais une scène où la norme elle-même demeure rarement exposée à l’épreuve.</w:t>
      </w:r>
    </w:p>
    <w:p>
      <w:pPr>
        <w:pStyle w:val="BodyText"/>
        <w:rPr/>
      </w:pPr>
      <w:r>
        <w:rPr/>
        <w:t>Du point de vue archicratique, cette clôture est décisive. Car l’exigence n’est pas seulement que les sujets soient traités selon des règles, mais que les règles elles-mêmes puissent être interrogées, contestées, reformulées dans un espace visible et traversable. Une procédure peut donc devenir une scène d’archicration, mais à une condition stricte : qu’elle cesse d’être le simple canal d’un traitement pour devenir un dispositif d’apparition du conflit, de visibilité des asymétries et de requalification des normes. Faute de quoi, elle demeure une normativité sans scène, c’est-à-dire une forme qui organise la régulation tout en soustrayant sa propre légitimité à l’épreuve.</w:t>
      </w:r>
    </w:p>
    <w:p>
      <w:pPr>
        <w:pStyle w:val="BodyText"/>
        <w:rPr/>
      </w:pPr>
      <w:r>
        <w:rPr/>
        <w:t>C’est ce point de tension qui nous conduit au seuil suivant. Car lorsque le pouvoir ne se ferme plus dans la forme procédurale, mais se dérobe comme lieu, une autre question surgit : que devient la régulation lorsqu’il n’y a plus d’instance pleinement visible à contester, plus de figure à interpeller, mais un vide symbolique au cœur même du pouvoir démocratique ? C’est ce problème que nous allons maintenant aborder avec la pensée du lieu vide.</w:t>
      </w:r>
    </w:p>
    <w:p>
      <w:pPr>
        <w:pStyle w:val="Heading3"/>
        <w:numPr>
          <w:ilvl w:val="2"/>
          <w:numId w:val="2"/>
        </w:numPr>
        <w:rPr/>
      </w:pPr>
      <w:r>
        <w:rPr/>
        <w:t xml:space="preserve">3.5.2 — Le lieu vide et la visibilité du pouvoir : </w:t>
      </w:r>
      <w:r>
        <w:rPr>
          <w:i/>
          <w:iCs/>
        </w:rPr>
        <w:t>régulation sans incarnation</w:t>
      </w:r>
    </w:p>
    <w:p>
      <w:pPr>
        <w:pStyle w:val="BodyText"/>
        <w:rPr/>
      </w:pPr>
      <w:r>
        <w:rPr/>
        <w:t>À la suite de notre critique des régimes procéduraux, un autre type de vide doit maintenant être interrogé : non plus la fermeture de la scène par excès de forme, mais la vacance symbolique au cœur même du pouvoir démocratique. Avec Claude Lefort, la démocratie cesse d’être pensée comme incarnation d’une unité substantielle ; elle devient le régime dans lequel le pouvoir ne peut jamais être durablement approprié, parce qu’il se tient dans un lieu symboliquement vide, constamment rouvert par les luttes d’interprétation, les conflits d’orientation et la division du social.</w:t>
      </w:r>
    </w:p>
    <w:p>
      <w:pPr>
        <w:pStyle w:val="BodyText"/>
        <w:rPr/>
      </w:pPr>
      <w:r>
        <w:rPr/>
        <w:t>Cette thèse a représenté un déplacement majeur. Elle a permis de penser le politique non plus à partir d’un fondement stable, d’une souveraineté incarnée ou d’une vérité unificatrice, mais à partir d’une indétermination constitutive. Le vide du pouvoir n’y signale pas une faiblesse de la démocratie, mais sa condition même : ce qui empêche sa captation par une personne, un groupe ou un dogme. À ce titre, le modèle lefortien a fourni l’une des critiques les plus puissantes du totalitarisme, défini précisément par la saturation de ce vide et par la prétention à remplir pleinement le lieu du pouvoir.</w:t>
      </w:r>
    </w:p>
    <w:p>
      <w:pPr>
        <w:pStyle w:val="BodyText"/>
        <w:rPr/>
      </w:pPr>
      <w:r>
        <w:rPr/>
        <w:t>La portée de cette thèse est considérable. En rompant avec toute représentation substantialiste du pouvoir, Lefort a permis de penser la démocratie non comme ordre achevé, mais comme régime d’exposition permanente à la division. Le pouvoir n’y vaut plus comme propriété, mais comme lieu contestable, toujours susceptible d’être réinterprété, déplacé, remis en jeu. C’est en cela que son modèle demeure structurant pour notre parcours : il fait apparaître que la conflictualité n’est pas un accident du politique démocratique, mais sa condition symbolique la plus profonde.</w:t>
      </w:r>
    </w:p>
    <w:p>
      <w:pPr>
        <w:pStyle w:val="BodyText"/>
        <w:rPr/>
      </w:pPr>
      <w:r>
        <w:rPr/>
        <w:t>Mais la force critique du modèle lefortien rencontre une limite décisive du point de vue archicratique : un vide symbolique ne vaut pas encore comme scène d’épreuve. Qu’il empêche l’appropriation totale du pouvoir ne suffit pas ; encore faut-il qu’il rende possible des formes visibles, situées et traversables de confrontation. Sans cela, la vacance risque de se transformer en abstraction politique : le pouvoir n’est plus incarné, certes, mais il n’est pas davantage exposé. Il se dérobe, se dissémine, devient insituable — et, par là même, plus difficilement contestable.</w:t>
      </w:r>
    </w:p>
    <w:p>
      <w:pPr>
        <w:pStyle w:val="BodyText"/>
        <w:rPr/>
      </w:pPr>
      <w:r>
        <w:rPr/>
        <w:t>C’est ici que la perspective archicratique introduit sa correction décisive. Le vide n’est politiquement fécond qu’à condition d’être habité par des formes de passage : des scènes, des rythmes, des dispositifs, des prises d’adresse, des procédures de conflictualisation qui rendent la vacance perceptible, partageable et disputable. Faute de cette inscription scénique, l’ouverture démocratique peut être recapturée par des puissances technocratiques, gestionnaires ou infrastructurelles, qui opèrent sans apparaître. La vacance cesse alors d’être la condition du dissensus pour devenir l’écran de sa neutralisation. Ce n’est donc pas le vide en soi qui fait problème, mais son absence de traduction dans des formes concrètes de visibilité, de localisation et d’institution du conflit.</w:t>
      </w:r>
    </w:p>
    <w:p>
      <w:pPr>
        <w:pStyle w:val="BodyText"/>
        <w:rPr/>
      </w:pPr>
      <w:r>
        <w:rPr/>
        <w:t>On mesure ici le risque propre aux démocraties libérales avancées : un pouvoir qui n’est plus approprié ne devient pas nécessairement plus disputable. Il peut au contraire se déplacer vers des chaînes de décision technocratiques, des infrastructures juridiques, des appareils de gestion ou des architectures informationnelles qui demeurent largement sans visage. Le vide du pouvoir, lorsqu’il n’est pas relayé par des scènes effectives d’apparition et de contestation, peut ainsi produire moins une ouverture démocratique qu’une désorientation politique, où les sujets perçoivent l’autorité comme diffuse, lointaine, insituable — donc difficilement attaquable.</w:t>
      </w:r>
    </w:p>
    <w:p>
      <w:pPr>
        <w:pStyle w:val="BodyText"/>
        <w:rPr/>
      </w:pPr>
      <w:r>
        <w:rPr/>
        <w:t>Il faut donc reconnaître au concept de lieu vide une portée critique majeure, tout en en mesurant la limite. Il demeure essentiel pour délégitimer les appropriations totalisantes du pouvoir et pour penser la démocratie comme régime de division assumée. Mais, livré à lui-même, il tend à reconduire une vacance trop abstraite, trop symbolique, trop peu traduite dans des formes effectives de confrontation. Un vide qui n’est ni localisé, ni figuré, ni institué risque moins d’ouvrir l’épreuve que de la dérober.</w:t>
      </w:r>
    </w:p>
    <w:p>
      <w:pPr>
        <w:pStyle w:val="BodyText"/>
        <w:rPr/>
      </w:pPr>
      <w:r>
        <w:rPr/>
        <w:t>La tâche archicratique consiste alors non à combler le vide, mais à le rendre praticable : à instituer des formes d’apparition, des lieux d’adresse, des temporalités de dispute et des contre-pouvoirs visibles capables de transformer l’indétermination démocratique en scène effective d’épreuve. C’est à cette condition seulement que la vacance du pouvoir cesse d’être une simple abstraction pour devenir une structure disputable du commun. Ce déplacement nous conduit directement vers les pensées du dissensus, qui chercheront moins à préserver le vide qu’à faire surgir la scène même où le conflit peut apparaître, s’exposer et devenir instituant.</w:t>
      </w:r>
    </w:p>
    <w:p>
      <w:pPr>
        <w:pStyle w:val="Heading3"/>
        <w:numPr>
          <w:ilvl w:val="2"/>
          <w:numId w:val="2"/>
        </w:numPr>
        <w:rPr/>
      </w:pPr>
      <w:r>
        <w:rPr/>
        <w:t xml:space="preserve">3.5.3 — Dissensus et égalité présupposée : </w:t>
      </w:r>
      <w:r>
        <w:rPr>
          <w:i/>
          <w:iCs/>
        </w:rPr>
        <w:t>une régulation par la polémique</w:t>
      </w:r>
    </w:p>
    <w:p>
      <w:pPr>
        <w:pStyle w:val="BodyText"/>
        <w:rPr/>
      </w:pPr>
      <w:r>
        <w:rPr/>
        <w:t>Après la vacance symbolique du pouvoir, il faut désormais interroger une autre figure de la régulation politique : celle qui surgit dans le dissensus lui-même, lorsque le conflit cesse d’être perçu comme un accident de la vie collective pour devenir la condition même d’une scène politique effective. Avec Rancière, Mouffe et Tassin, la politique ne se laisse plus penser à partir de la stabilité des institutions ni de la simple ouverture démocratique, mais à partir de formes de confrontation visibles, situées, où s’éprouvent les cadres mêmes du commun.</w:t>
      </w:r>
    </w:p>
    <w:p>
      <w:pPr>
        <w:pStyle w:val="BodyText"/>
        <w:rPr/>
      </w:pPr>
      <w:r>
        <w:rPr/>
        <w:t>La thèse directrice de cette sous-section est simple : le dissensus peut devenir une modalité de régulation, mais seulement lorsqu’il accède à une scène où il devient visible, opposable et potentiellement transformateur. Rancière en donne la formulation la plus radicale, en identifiant la politique à l’irruption d’un sujet inattendu qui met en crise le partage du sensible. Le dissensus n’y est pas une divergence à arbitrer, mais un tort qui exige la reconfiguration même de l’ordre du visible et de l’audible.</w:t>
      </w:r>
    </w:p>
    <w:p>
      <w:pPr>
        <w:pStyle w:val="BodyText"/>
        <w:rPr/>
      </w:pPr>
      <w:r>
        <w:rPr/>
        <w:t>Le partage du sensible, chez Rancière, désigne l’organisation des perceptibles et des dicibles dans un espace social donné : qui est visible, qui est écouté, qui peut parler, qui peut être pris en compte. Ce partage n’est jamais neutre ; il est toujours structuré par des rapports de domination. Et c’est précisément ce que le dissensus vient bouleverser.</w:t>
      </w:r>
    </w:p>
    <w:p>
      <w:pPr>
        <w:pStyle w:val="BodyText"/>
        <w:rPr/>
      </w:pPr>
      <w:r>
        <w:rPr/>
        <w:t xml:space="preserve">Dans </w:t>
      </w:r>
      <w:r>
        <w:rPr>
          <w:i/>
          <w:iCs/>
        </w:rPr>
        <w:t>La Mésentente</w:t>
      </w:r>
      <w:r>
        <w:rPr/>
        <w:t>, Rancière distingue entre la police et la politique. La police n’est pas ici l’institution répressive, mais l’ordre qui distribue les places, les fonctions, les rôles, qui organise la société selon un schéma de visibilité reconnu. La politique, elle, surgit quand cet ordre est mis en question, non pas par des revendications compatibles avec l’ordre, mais par une subjectivation qui le conteste en son principe même.</w:t>
      </w:r>
    </w:p>
    <w:p>
      <w:pPr>
        <w:pStyle w:val="BodyText"/>
        <w:rPr/>
      </w:pPr>
      <w:r>
        <w:rPr/>
        <w:t>Ce que cette conception permet de penser, c’est que la régulation politique ne passe pas nécessairement par la médiation du droit ou de la procédure, mais peut aussi s’exercer par l’apparition imprévisible d’un acteur qui interrompt le cours ordinaire des choses, qui désorganise l’espace symbolique, qui fait entendre une parole que l’ordre dominant ne savait pas écouter.</w:t>
      </w:r>
    </w:p>
    <w:p>
      <w:pPr>
        <w:pStyle w:val="BodyText"/>
        <w:rPr/>
      </w:pPr>
      <w:r>
        <w:rPr/>
        <w:t>La radicalité de Rancière tient précisément à ce point : il n’y a de politique que là où une parole inassignable interrompt l’ordre du visible et oblige à reconfigurer ce qui compte comme commun. Mais cette radicalité fait aussi surgir une limite du point de vue archicratique. Car si le dissensus est pensé avant tout comme surgissement, comment devient-il durablement régulateur ? Comment passe-t-on de l’irruption à la reprise, de la rupture à une transformation instituable du cadre ? C’est cette difficulté qui conduit à examiner des pensées cherchant à donner au conflit des formes plus durables, au premier rang desquelles celle de Chantal Mouffe.</w:t>
      </w:r>
    </w:p>
    <w:p>
      <w:pPr>
        <w:pStyle w:val="BodyText"/>
        <w:rPr/>
      </w:pPr>
      <w:r>
        <w:rPr/>
        <w:t>Avec Chantal Mouffe, la conflictualité ne vaut plus seulement comme irruption, mais comme permanence structurante du politique démocratique. Contre les modèles délibératifs du consensus rationnel, elle affirme que les sociétés modernes demeurent traversées par des antagonismes irréductibles, que la démocratie ne doit ni nier ni dissoudre, mais transformer en conflits agonistiques. L’adversaire n’y est pas un ennemi à éliminer, mais un opposant à combattre dans un cadre partagé, sans que le désaccord perde son intensité.</w:t>
      </w:r>
    </w:p>
    <w:p>
      <w:pPr>
        <w:pStyle w:val="BodyText"/>
        <w:rPr/>
      </w:pPr>
      <w:r>
        <w:rPr/>
        <w:t>Cette proposition est décisive pour l’Archicratie, car elle rappelle que la conflictualité n’est pas une menace extérieure à la démocratie, mais sa condition vitale. Mais elle rencontre aussi une limite nette : le cadre agonistique demeure souvent sous-déterminé. Mouffe dit peu de la manière dont ce cadre se constitue, se transforme ou devient lui-même objet de conflit ; elle formalise peu les prises concrètes, les rythmes, les dispositifs et les scènes capables de rendre ce dissensus effectivement traversable. Son apport est donc majeur, mais inachevé : elle stabilise la conflictualité sans encore lui donner toute l’épaisseur scénique et opératoire qu’exige une régulation archicratique.</w:t>
      </w:r>
    </w:p>
    <w:p>
      <w:pPr>
        <w:pStyle w:val="BodyText"/>
        <w:rPr/>
      </w:pPr>
      <w:r>
        <w:rPr/>
        <w:t>Étienne Tassin déplace encore la question. Là où Rancière accentue l’irruption et Mouffe la conflictualité cadrée, Tassin rappelle que le dissensus n’a de portée politique qu’à l’intérieur d’un monde commun, c’est-à-dire d’un espace où les sujets peuvent apparaître les uns aux autres, s’exposer publiquement et risquer une parole adressée. Le conflit n’y est plus seulement rupture ou antagonisme ; il devient modalité d’un être-avec conflictuel, condition fragile d’une co-présence qui ne supprime ni l’étrangeté ni la pluralité.</w:t>
      </w:r>
    </w:p>
    <w:p>
      <w:pPr>
        <w:pStyle w:val="BodyText"/>
        <w:rPr/>
      </w:pPr>
      <w:r>
        <w:rPr/>
        <w:t>Cet apport est central pour l’archicratie. Il montre qu’aucune scène polémique n’est régulatrice si elle n’est pas aussi scène d’apparition, d’adresse et d’habitation partagée du dissensus. Mais il en révèle aussi la fragilité : lorsque le monde commun se désagrège, se numérise ou se désymbolise, le conflit ne disparaît pas ; il perd sa scène. Dès lors, la tâche archicratique ne consiste pas seulement à accueillir l’irruption ou à cadrer l’antagonisme, mais à instituer des formes dans lesquelles le dissensus puisse devenir visible, opposable et potentiellement instituant.</w:t>
      </w:r>
    </w:p>
    <w:p>
      <w:pPr>
        <w:pStyle w:val="BodyText"/>
        <w:rPr/>
      </w:pPr>
      <w:r>
        <w:rPr/>
        <w:t>C’est la leçon commune que l’on peut tirer de Rancière, Mouffe et Tassin : la régulation ne s’oppose pas au conflit, elle suppose sa mise en forme. Encore faut-il que cette forme ne relève ni de l’incantation ni du pur événement, mais d’une scène praticable, traversable et susceptible de produire des effets. C’est précisément ce que les dispositifs expérimentaux contemporains tenteront de faire, en cherchant à donner au dissensus un lieu, un rythme et une consistance institutionnelle sans en annuler la charge conflictuelle.</w:t>
      </w:r>
    </w:p>
    <w:p>
      <w:pPr>
        <w:pStyle w:val="Heading3"/>
        <w:numPr>
          <w:ilvl w:val="2"/>
          <w:numId w:val="2"/>
        </w:numPr>
        <w:rPr/>
      </w:pPr>
      <w:r>
        <w:rPr/>
        <w:t xml:space="preserve">3.5.4 — Régime expérimental et pluriel institutionnalisé : </w:t>
      </w:r>
      <w:r>
        <w:rPr>
          <w:i/>
          <w:iCs/>
        </w:rPr>
        <w:t>une régulation mise à l’épreuve</w:t>
      </w:r>
    </w:p>
    <w:p>
      <w:pPr>
        <w:pStyle w:val="BodyText"/>
        <w:rPr/>
      </w:pPr>
      <w:r>
        <w:rPr/>
        <w:t>Après la bureaucratie, la vacance symbolique et les scènes du dissensus, une dernière figure de la régulation procédurale doit être interrogée : celle des dispositifs expérimentaux contemporains, qui cherchent à rouvrir des scènes de parole, de confrontation et de participation là où les formes classiques de la démocratie représentative semblent épuisées. Assemblées tirées au sort, jurys citoyens, conventions thématiques, budgets participatifs ou forums hybrides ont en commun de déplacer la question de la régulation vers des formats situés, temporaires et pluralisés, où le commun est moins présupposé qu’éprouvé.</w:t>
      </w:r>
    </w:p>
    <w:p>
      <w:pPr>
        <w:pStyle w:val="BodyText"/>
        <w:rPr/>
      </w:pPr>
      <w:r>
        <w:rPr/>
        <w:t>L’enjeu n’est pas de célébrer ces expériences comme solutions, mais d’évaluer ce qu’elles rendent possible du point de vue archicratique. Constituent-elles de simples simulacres de conflictualité, ou bien des scènes pré-archicratiques où s’esquissent certaines conditions d’une véritable épreuve régulatrice ? C’est cette ambivalence qu’il faut analyser : ces dispositifs ouvrent des prises réelles, mais souvent fragiles, incomplètes, réversibles et inégalement reliées aux centres effectifs de décision.</w:t>
      </w:r>
    </w:p>
    <w:p>
      <w:pPr>
        <w:pStyle w:val="BodyText"/>
        <w:rPr/>
      </w:pPr>
      <w:r>
        <w:rPr/>
        <w:t>Le soubassement théorique de ces expérimentations peut être lu à travers trois figures majeures. Avec Dewey, la démocratie cesse d’être seulement un régime institutionnel pour devenir une méthode d’enquête collective, où les problèmes publics émergent de l’expérience partagée et de leur mise en discussion. Avec Fishkin, cette intuition se traduit dans des dispositifs précis de délibération informée, pensés comme scènes auxiliaires où l’opinion publique peut se reformer au contact d’informations pluralisées et d’échanges encadrés. Avec Landemore enfin, l’ouverture démocratique reçoit une portée plus normative : la pluralité des points de vue n’est plus seulement une exigence politique, mais une condition épistémique de robustesse des décisions collectives.</w:t>
      </w:r>
    </w:p>
    <w:p>
      <w:pPr>
        <w:pStyle w:val="BodyText"/>
        <w:rPr/>
      </w:pPr>
      <w:r>
        <w:rPr/>
        <w:t>Ces trois approches convergent sur un point essentiel pour notre propos : elles cherchent toutes à rouvrir la scène politique à l’expérience, à l’incertitude, à la parole ordinaire et à la conflictualité, contre la clôture procédurale et la délégation sans retour. En ce sens, elles dessinent bien des formes pré-archicratiques. Mais cette convergence doit être immédiatement interrogée : ouvrir une scène de discussion ne suffit pas encore à produire une régulation traversable, opposable et instituante.</w:t>
      </w:r>
    </w:p>
    <w:p>
      <w:pPr>
        <w:pStyle w:val="BodyText"/>
        <w:rPr/>
      </w:pPr>
      <w:r>
        <w:rPr/>
        <w:t>Ces dispositifs ont un mérite réel : ils rouvrent des scènes de parole et de confrontation là où la démocratie représentative tend à se refermer sur des circuits spécialisés. Tirage au sort, délibération informée, confrontation de diagnostics, mise en commun d’expériences : autant de procédures qui permettent parfois de rendre visibles des désaccords, de reformuler les problèmes publics et de restituer à des sujets ordinaires une capacité de nomination et d’interpellation. À ce titre, ils ne sont ni de simples gadgets ni de purs simulacres. Ils introduisent bien des prises, faibles mais réelles, sur l’organisation du commun.</w:t>
      </w:r>
    </w:p>
    <w:p>
      <w:pPr>
        <w:pStyle w:val="BodyText"/>
        <w:rPr/>
      </w:pPr>
      <w:r>
        <w:rPr/>
        <w:t>Mais leur limite est tout aussi nette. La plupart demeurent faiblement intégrés aux lieux effectifs de décision ; ils reposent sur des cadres d’autorité fragiles, souvent temporaires ; et ils restent généralement encadrés par des institutions dominantes qui fixent le périmètre des questions recevables. Le risque est alors que l’expérimentation ne serve moins à instituer le dissensus qu’à le contenir. C’est sur ce point que l’apport critique de Barbara Stiegler devient majeur : ce que le néolibéralisme valorise sous le nom d’expérimentation peut aussi devenir une technologie d’ajustement adaptatif, où la parole est sollicitée sans que la conflictualité acquière de véritable prise sur les structures. L’expérimentation démocratique se trouve ainsi prise dans une tension constitutive : avant-poste fragile d’une archicration possible, ou laboratoire d’un gouvernement par simulation.</w:t>
      </w:r>
    </w:p>
    <w:p>
      <w:pPr>
        <w:pStyle w:val="BodyText"/>
        <w:rPr/>
      </w:pPr>
      <w:r>
        <w:rPr/>
        <w:t>La question décisive devient alors la suivante : à quelles conditions une expérimentation démocratique cesse-t-elle d’être simple inclusion procédurale pour devenir scène archicratique effective ? Trois exigences apparaissent. D’abord, une arcalité suffisamment forte pour donner à la scène sa durée, sa mémoire et sa reconnaissabilité : sans cadre instituant, l’expérimentation demeure précaire et révocable. Ensuite, une cratialité réelle, c’est-à-dire une capacité des prises produites dans la scène à infléchir les normes, les décisions ou les catégories de l’action publique : sans effet possible, la parole reste décorative. Enfin, une archicration proprement dite, c’est-à-dire une épreuve visible, opposable et traversable, où les positions peuvent se répondre sans que le conflit soit neutralisé d’avance.</w:t>
      </w:r>
    </w:p>
    <w:p>
      <w:pPr>
        <w:pStyle w:val="BodyText"/>
        <w:rPr/>
      </w:pPr>
      <w:r>
        <w:rPr/>
        <w:t>C’est à cette aune que ces dispositifs doivent être évalués. Leur intérêt n’est pas de fournir une solution déjà constituée, mais de rendre perceptible ce qu’exige une régulation démocratique digne de ce nom : non une simple ouverture de la parole, mais l’institution de scènes où le dissensus peut produire des effets. Certaines expérimentations n’atteignent ces conditions que partiellement ; d’autres les simulent sans les réaliser ; d’autres encore ouvrent de véritables brèches, précisément parce qu’elles mettent en crise leur propre cadre et laissent la conflictualité travailler les règles du jeu. En ce sens, le régime expérimental ne vaut pas comme accomplissement de l’archicration, mais comme terrain d’épreuve où se mesurent, à l’état instable, ses possibilités et ses insuffisances.</w:t>
      </w:r>
    </w:p>
    <w:p>
      <w:pPr>
        <w:pStyle w:val="BodyText"/>
        <w:rPr/>
      </w:pPr>
      <w:r>
        <w:rPr/>
        <w:t>Cette section a permis d’établir une thèse décisive : la régulation politique ne peut être pensée ni comme simple procédure, ni comme vacance symbolique, ni comme surgissement conflictuel pur, ni même comme expérimentation participative laissée à elle-même. Dans tous les cas, le point crucial demeure le même : réguler, ce n’est pas neutraliser le dissensus, mais lui donner une scène. Une scène où des positions peuvent apparaître, se confronter, se répondre, et, sous certaines conditions, transformer les cadres mêmes du commun.</w:t>
      </w:r>
    </w:p>
    <w:p>
      <w:pPr>
        <w:pStyle w:val="BodyText"/>
        <w:rPr/>
      </w:pPr>
      <w:r>
        <w:rPr/>
        <w:t>Le parcours conduit de la bureaucratie aux dispositifs expérimentaux a ainsi fait apparaître plusieurs insuffisances symétriques : la forme procédurale tend à fermer l’épreuve au nom de l’impartialité ; la vacance du pouvoir risque de devenir abstraction si elle n’est pas rendue praticable ; le dissensus ne devient pas régulateur du seul fait de son irruption ; et les expérimentations démocratiques, si elles ouvrent des brèches réelles, restent souvent fragiles tant qu’elles ne disposent ni d’une arcalité solide, ni d’une cratialité effective, ni d’une archicration pleinement traversable. Ce que la section met donc en lumière, c’est l’exigence d’une mise en forme instituante du conflit : non sa disparition, non sa pacification, mais sa configuration publique dans des scènes capables de le rendre visible, opposable et transformateur.</w:t>
      </w:r>
    </w:p>
    <w:p>
      <w:pPr>
        <w:pStyle w:val="BodyText"/>
        <w:rPr/>
      </w:pPr>
      <w:r>
        <w:rPr/>
        <w:t>Trois acquis peuvent alors être retenus. D’abord, aucune co-viabilité politique ne se soutient sans scènes de visibilité du dissensus. Ensuite, la conflictualité ne devient régulatrice qu’à condition d’être reprise dans des formes d’épreuve où elle puisse produire des effets. Enfin, la pluralité des scènes ne vaut que si leurs conditions de légitimité, de durée et d’adresse sont elles-mêmes configurées. C’est précisément ce que la triade archicratique permet de rendre pensable : une articulation entre cadre instituant, puissance agissante et scène d’épreuve, sans laquelle le commun demeure soit administré, soit abstrait, soit pulvérisé dans l’événement.</w:t>
      </w:r>
    </w:p>
    <w:p>
      <w:pPr>
        <w:pStyle w:val="BodyText"/>
        <w:rPr/>
      </w:pPr>
      <w:r>
        <w:rPr/>
        <w:t>Mais c’est aussi à ce point que s’ouvre la question la plus critique de notre époque. Car si cette section a montré que la régulation exige une scène, la suivante devra affronter des régimes où la scène elle-même tend à s’effacer : non plus sous l’effet de la clôture juridique ou de l’abstraction symbolique, mais sous celui de protocoles, d’algorithmes et d’architectures machiniques qui calculent, anticipent et modulent sans passer par l’épreuve visible du dissensus. Le passage qui s’annonce est donc décisif : que devient la co-viabilité lorsqu’on passe de la scène au flux, de la parole au protocole, de la confrontation à la corrélation ? C’est ce basculement que nous devons maintenant explorer.</w:t>
      </w:r>
    </w:p>
    <w:p>
      <w:pPr>
        <w:pStyle w:val="Heading2"/>
        <w:numPr>
          <w:ilvl w:val="1"/>
          <w:numId w:val="2"/>
        </w:numPr>
        <w:rPr/>
      </w:pPr>
      <w:r>
        <w:rPr>
          <w:b/>
          <w:bCs/>
        </w:rPr>
        <w:t xml:space="preserve">3.6 — Régimes machino-techniques — </w:t>
      </w:r>
      <w:r>
        <w:rPr>
          <w:b/>
          <w:bCs/>
          <w:i/>
          <w:iCs/>
        </w:rPr>
        <w:t>des</w:t>
      </w:r>
      <w:r>
        <w:rPr/>
        <w:t xml:space="preserve"> </w:t>
      </w:r>
      <w:r>
        <w:rPr>
          <w:i/>
          <w:iCs/>
        </w:rPr>
        <w:t>puissances modulées</w:t>
      </w:r>
    </w:p>
    <w:p>
      <w:pPr>
        <w:pStyle w:val="BodyText"/>
        <w:rPr/>
      </w:pPr>
      <w:r>
        <w:rPr/>
        <w:t>Une bascule s’opère ici dans notre parcours. Après les régimes où la régulation se déployait encore dans des scènes de parole, de justification, de procédure ou de confrontation, nous abordons des configurations où elle tend à s’effectuer par le calcul, le flux, l’architecture technique et l’anticipation. La machine n’y intervient plus seulement comme instrument au service d’une décision humaine identifiable : elle devient instance de tri, de modulation, de synchronisation et de préemption. C’est ce déplacement que nous désignons sous le nom de régimes machino-techniques.</w:t>
      </w:r>
    </w:p>
    <w:p>
      <w:pPr>
        <w:pStyle w:val="BodyText"/>
        <w:rPr/>
      </w:pPr>
      <w:r>
        <w:rPr/>
        <w:t>Il ne s’agit pas simplement d’ajouter la technique à l’analyse du politique, mais de prendre acte d’une transformation plus profonde : la régulation se recompose dans des dispositifs qui ne revendiquent ni souveraineté, ni autorité, ni même intention explicite, tout en reconfigurant silencieusement les conditions d’agir, de percevoir et de décider. Dès lors, l’épreuve archicratique devient décisive. Que devient l’arcalité lorsque l’ordre ne s’énonce plus, mais se déduit de corrélations et de protocoles ? Que devient la cratialité lorsque les puissances d’agir sont captées, orientées ou préemptées par des flux de données et des architectures de calcul ? Et que devient l’archicration lorsqu’il n’y a plus de scène explicite de confrontation, mais seulement des modulations continues, des paramétrages et des implémentations ?</w:t>
      </w:r>
    </w:p>
    <w:p>
      <w:pPr>
        <w:pStyle w:val="BodyText"/>
        <w:rPr/>
      </w:pPr>
      <w:r>
        <w:rPr/>
        <w:t>Pour éprouver ce déplacement, nous traverserons quatre configurations philosophiques majeures. Avec Deleuze et Guattari, nous rencontrerons une pensée des agencements et des flux où la régulation se distribue sans centre dans des consistances machiniques. Avec Yuk Hui, la cosmotechnie ouvrira la possibilité d’une pluralité de régimes techniques ancrés dans des ontologies différenciées. Avec Bernard Stiegler, la grammatisation et la prolétarisation cognitive feront apparaître la question décisive du temps, de l’attention et de la désautomatisation comme conditions de toute reprise régulatrice. Avec Rouvroy et Berns enfin, la gouvernementalité algorithmique portera à son point extrême la figure d’une régulation sans sujet, sans scène et sans rupture.</w:t>
      </w:r>
    </w:p>
    <w:p>
      <w:pPr>
        <w:pStyle w:val="BodyText"/>
        <w:rPr/>
      </w:pPr>
      <w:r>
        <w:rPr/>
        <w:t>À travers cette séquence, il ne s’agira pas de penser la technique en général, mais de comprendre comment les régimes machino-techniques redistribuent les conditions mêmes de la co-viabilité. Car ce qu’ils mettent à l’épreuve, ce n’est rien de moins que la possibilité d’une scène régulatrice dans un monde où la modulation tend à remplacer l’institution, où le protocole tend à remplacer la parole, et où la corrélation tend à neutraliser le dissensus.</w:t>
      </w:r>
    </w:p>
    <w:p>
      <w:pPr>
        <w:pStyle w:val="Heading3"/>
        <w:numPr>
          <w:ilvl w:val="2"/>
          <w:numId w:val="2"/>
        </w:numPr>
        <w:rPr/>
      </w:pPr>
      <w:r>
        <w:rPr/>
        <w:t xml:space="preserve">3.6.1 — Régimes d’agencements — </w:t>
      </w:r>
      <w:r>
        <w:rPr>
          <w:i/>
          <w:iCs/>
        </w:rPr>
        <w:t>une régulation machinique</w:t>
      </w:r>
    </w:p>
    <w:p>
      <w:pPr>
        <w:pStyle w:val="BodyText"/>
        <w:rPr/>
      </w:pPr>
      <w:r>
        <w:rPr/>
        <w:t xml:space="preserve">L’œuvre conjointe de Gilles Deleuze et Félix Guattari, notamment dans </w:t>
      </w:r>
      <w:r>
        <w:rPr>
          <w:i/>
          <w:iCs/>
        </w:rPr>
        <w:t>L’Anti-Œdipe</w:t>
      </w:r>
      <w:r>
        <w:rPr/>
        <w:t xml:space="preserve"> (1972) et </w:t>
      </w:r>
      <w:r>
        <w:rPr>
          <w:i/>
          <w:iCs/>
        </w:rPr>
        <w:t>Mille Plateaux</w:t>
      </w:r>
      <w:r>
        <w:rPr/>
        <w:t xml:space="preserve"> (1980), opère une torsion décisive de la pensée du pouvoir : elle déplace la régulation hors des catégories de souveraineté, d’institution et de norme, pour la reformuler à partir des flux, des agencements et des machines. La “machine” n’y désigne ni un simple outil ni une instance extérieure d’organisation, mais un processus immanent de connexion, de découpage et de transformation du réel.</w:t>
      </w:r>
    </w:p>
    <w:p>
      <w:pPr>
        <w:pStyle w:val="BodyText"/>
        <w:rPr/>
      </w:pPr>
      <w:r>
        <w:rPr/>
        <w:t>La pensée deleuzo-guattarienne ne se formule évidemment pas selon la triade arcalité–cratialité–archicration que nous mobilisons ici. C’est précisément cette altérité qui en fait l’intérêt pour notre enquête : non parce qu’il faudrait la rabattre sur nos catégories, mais parce qu’elle permet d’en éprouver la plasticité face à une philosophie du flux, de l’agencement et de la consistance machinique.</w:t>
      </w:r>
    </w:p>
    <w:p>
      <w:pPr>
        <w:pStyle w:val="BodyText"/>
        <w:rPr/>
      </w:pPr>
      <w:r>
        <w:rPr/>
        <w:t xml:space="preserve">La </w:t>
      </w:r>
      <w:r>
        <w:rPr>
          <w:i/>
          <w:iCs/>
        </w:rPr>
        <w:t>régulation</w:t>
      </w:r>
      <w:r>
        <w:rPr/>
        <w:t xml:space="preserve">, chez Deleuze et Guattari, ne se pense jamais à partir de la norme, de la loi ou de l’institution. Elle ne s’inscrit pas dans l’horizon de la souveraineté, mais dans celui du </w:t>
      </w:r>
      <w:r>
        <w:rPr>
          <w:i/>
          <w:iCs/>
        </w:rPr>
        <w:t>champ de consistance</w:t>
      </w:r>
      <w:r>
        <w:rPr/>
        <w:t xml:space="preserve">. Elle n’émerge pas d’un centre de décision, mais se configure comme </w:t>
      </w:r>
      <w:r>
        <w:rPr>
          <w:i/>
          <w:iCs/>
        </w:rPr>
        <w:t>modulation transversale des flux</w:t>
      </w:r>
      <w:r>
        <w:rPr/>
        <w:t xml:space="preserve"> — </w:t>
      </w:r>
      <w:r>
        <w:rPr>
          <w:i/>
          <w:iCs/>
        </w:rPr>
        <w:t>flux de désirs, flux de matières, flux de signes, flux de capitaux</w:t>
      </w:r>
      <w:r>
        <w:rPr/>
        <w:t xml:space="preserve">. Dès </w:t>
      </w:r>
      <w:r>
        <w:rPr>
          <w:i/>
          <w:iCs/>
        </w:rPr>
        <w:t>L’Anti-Œdipe</w:t>
      </w:r>
      <w:r>
        <w:rPr/>
        <w:t>, les auteurs affirment que :</w:t>
      </w:r>
    </w:p>
    <w:p>
      <w:pPr>
        <w:pStyle w:val="BodyText"/>
        <w:rPr/>
      </w:pPr>
      <w:r>
        <w:rPr/>
        <w:t xml:space="preserve">« La </w:t>
      </w:r>
      <w:r>
        <w:rPr>
          <w:i/>
          <w:iCs/>
        </w:rPr>
        <w:t>machine sociale</w:t>
      </w:r>
      <w:r>
        <w:rPr/>
        <w:t xml:space="preserve"> ou </w:t>
      </w:r>
      <w:r>
        <w:rPr>
          <w:i/>
          <w:iCs/>
        </w:rPr>
        <w:t>socius</w:t>
      </w:r>
      <w:r>
        <w:rPr/>
        <w:t xml:space="preserve"> peut être le corps de la Terre, le corps du Despote, le corps de l’Argent. Elle n’est jamais une projection du corps sans organes. C’est plutôt le corps sans organes qui est l’ultime résidu d’un socius déterritorialisé. Le problème du </w:t>
      </w:r>
      <w:r>
        <w:rPr>
          <w:i/>
          <w:iCs/>
        </w:rPr>
        <w:t>socius</w:t>
      </w:r>
      <w:r>
        <w:rPr/>
        <w:t xml:space="preserve"> a toujours été celui-ci : </w:t>
      </w:r>
      <w:r>
        <w:rPr>
          <w:i/>
          <w:iCs/>
        </w:rPr>
        <w:t>coder les flux du désir, les inscrire, les enregistrer, faire qu’aucun flux ne coule qui ne soit tamponné, canalisé, réglé</w:t>
      </w:r>
      <w:r>
        <w:rPr/>
        <w:t xml:space="preserve">. » (Deleuze &amp; Guattari, 1972, </w:t>
      </w:r>
      <w:r>
        <w:rPr>
          <w:i/>
          <w:iCs/>
        </w:rPr>
        <w:t>Capitalisme et Schizophrénie 1</w:t>
      </w:r>
      <w:r>
        <w:rPr/>
        <w:t>, p. 21)</w:t>
      </w:r>
    </w:p>
    <w:p>
      <w:pPr>
        <w:pStyle w:val="BodyText"/>
        <w:rPr/>
      </w:pPr>
      <w:r>
        <w:rPr/>
        <w:t xml:space="preserve">Mais ces codes ne sont ni fixes ni imposés : ils sont continuellement reconfigurés, décodés et recodés selon les formes de ce qu’ils nomment la machine sociale. La </w:t>
      </w:r>
      <w:r>
        <w:rPr>
          <w:i/>
          <w:iCs/>
        </w:rPr>
        <w:t>régulation</w:t>
      </w:r>
      <w:r>
        <w:rPr/>
        <w:t xml:space="preserve"> devient ainsi un </w:t>
      </w:r>
      <w:r>
        <w:rPr>
          <w:i/>
          <w:iCs/>
        </w:rPr>
        <w:t>effet de surface</w:t>
      </w:r>
      <w:r>
        <w:rPr/>
        <w:t xml:space="preserve"> des agencements qui traversent un champ donné, un effet de capture et de redistribution des flux par les agencements collectifs d’énonciation.</w:t>
      </w:r>
    </w:p>
    <w:p>
      <w:pPr>
        <w:pStyle w:val="BodyText"/>
        <w:rPr/>
      </w:pPr>
      <w:r>
        <w:rPr/>
        <w:t xml:space="preserve">C’est ici que se manifeste leur conception singulière de la </w:t>
      </w:r>
      <w:r>
        <w:rPr>
          <w:i/>
          <w:iCs/>
        </w:rPr>
        <w:t>cratialité</w:t>
      </w:r>
      <w:r>
        <w:rPr/>
        <w:t xml:space="preserve">. Pour Deleuze et Guattari, il n’y a pas de pouvoir substantiel, pas d’autorité fondatrice, mais des </w:t>
      </w:r>
      <w:r>
        <w:rPr>
          <w:i/>
          <w:iCs/>
        </w:rPr>
        <w:t>micro-pouvoirs</w:t>
      </w:r>
      <w:r>
        <w:rPr/>
        <w:t xml:space="preserve"> </w:t>
      </w:r>
      <w:r>
        <w:rPr>
          <w:i/>
          <w:iCs/>
        </w:rPr>
        <w:t>distribués, fragmentaires, mobiles</w:t>
      </w:r>
      <w:r>
        <w:rPr/>
        <w:t xml:space="preserve">. Ce que Foucault nommait </w:t>
      </w:r>
      <w:r>
        <w:rPr>
          <w:i/>
          <w:iCs/>
        </w:rPr>
        <w:t>pouvoir capillaire</w:t>
      </w:r>
      <w:r>
        <w:rPr/>
        <w:t xml:space="preserve"> est ici prolongé en une </w:t>
      </w:r>
      <w:r>
        <w:rPr>
          <w:i/>
          <w:iCs/>
        </w:rPr>
        <w:t>ontologie du flux</w:t>
      </w:r>
      <w:r>
        <w:rPr/>
        <w:t xml:space="preserve">, où le </w:t>
      </w:r>
      <w:r>
        <w:rPr>
          <w:i/>
          <w:iCs/>
        </w:rPr>
        <w:t>désir</w:t>
      </w:r>
      <w:r>
        <w:rPr/>
        <w:t xml:space="preserve"> est la forme première de la puissance, non pas comme volonté de jouissance ou manque à combler, mais comme force de production :</w:t>
      </w:r>
    </w:p>
    <w:p>
      <w:pPr>
        <w:pStyle w:val="BodyText"/>
        <w:rPr/>
      </w:pPr>
      <w:r>
        <w:rPr/>
        <w:t>« Si le désir produit, il produit du réel. Si le désir est producteur, il ne peut l’être qu’en réalité, et de réalité. Le désir est cet ensemble de synthèses passives qui machinent les objets partiels, les flux et les corps, et qui fonctionnent comme des unités de production. Le réel en découle, il est le résultat des synthèses passives du désir comme auto-production de l’inconscient. » (ibid., p. 18).</w:t>
      </w:r>
    </w:p>
    <w:p>
      <w:pPr>
        <w:pStyle w:val="BodyText"/>
        <w:rPr/>
      </w:pPr>
      <w:r>
        <w:rPr/>
        <w:t xml:space="preserve">Ainsi, la </w:t>
      </w:r>
      <w:r>
        <w:rPr>
          <w:i/>
          <w:iCs/>
        </w:rPr>
        <w:t>cratialité</w:t>
      </w:r>
      <w:r>
        <w:rPr/>
        <w:t xml:space="preserve"> n’est jamais une entité ou une intention, mais une </w:t>
      </w:r>
      <w:r>
        <w:rPr>
          <w:i/>
          <w:iCs/>
        </w:rPr>
        <w:t>force transductive, inconsciente</w:t>
      </w:r>
      <w:r>
        <w:rPr/>
        <w:t xml:space="preserve">, une capacité à connecter, à couper, à produire du réel. Elle est </w:t>
      </w:r>
      <w:r>
        <w:rPr>
          <w:i/>
          <w:iCs/>
        </w:rPr>
        <w:t>machinique</w:t>
      </w:r>
      <w:r>
        <w:rPr/>
        <w:t xml:space="preserve">, au sens où elle articule un </w:t>
      </w:r>
      <w:r>
        <w:rPr>
          <w:i/>
          <w:iCs/>
        </w:rPr>
        <w:t>agencement de production</w:t>
      </w:r>
      <w:r>
        <w:rPr/>
        <w:t xml:space="preserve"> et non une intentionnalité politique.</w:t>
      </w:r>
    </w:p>
    <w:p>
      <w:pPr>
        <w:pStyle w:val="BodyText"/>
        <w:rPr/>
      </w:pPr>
      <w:r>
        <w:rPr/>
        <w:t>Dans ce cadre, l’arcalité n’est pas absente, mais radicalement transformée. Il n’y a plus de transcendance normative ni de structure a priori d’ordre légitime : les agencements produisent leur propre structuration immanente. L’ordre devient effet de plateau, stabilisation provisoire d’intensités, de segments et de connexions. Des figures comme le visage comme machine de surcodage, l’État comme reterritorialisation ou le corps sans organes comme seuil de déstructuration montrent bien que l’ordre ne précède pas les forces : il se cristallise à même elles, de façon toujours instable.</w:t>
      </w:r>
    </w:p>
    <w:p>
      <w:pPr>
        <w:pStyle w:val="BodyText"/>
        <w:rPr/>
      </w:pPr>
      <w:r>
        <w:rPr/>
        <w:t>Quant à l’archicration, elle n’est pas absente chez Deleuze et Guattari, mais profondément déplacée. Elle ne prend pas la forme d’un acte de fondation, d’un protocole d’épreuve ou d’une scène explicite de légitimation ; elle se loge dans la consistance même de l’agencement, dans sa capacité à tenir, à durer, à se stabiliser provisoirement sans centre transcendant. L’instauration y devient donc effet d’agencement plutôt qu’acte instituant. En ce sens, la tension archicratique ne disparaît pas : elle se redistribue dans les flux eux-mêmes, selon une logique de déterritorialisation et de reterritorialisation continue. Le modèle de régulation qui en résulte n’est ni dialectique ni procédural, mais topologique et intensif.</w:t>
      </w:r>
    </w:p>
    <w:p>
      <w:pPr>
        <w:pStyle w:val="BodyText"/>
        <w:rPr/>
      </w:pPr>
      <w:r>
        <w:rPr/>
        <w:t>Cette redistribution de la tension archicratique ouvre une conception très singulière de la co-viabilité. Chez Deleuze et Guattari, celle-ci n’est ni donnée ni instituée par consensus ou contrat ; elle se produit à même des micro-agencements de désir, de corps et de signes, dans un processus toujours instable de composition d’écarts. La ligne de fuite n’y vaut pas comme dissolution du lien, mais comme condition de sa recréation. Mais c’est aussi là qu’apparaît l’ambiguïté critique du modèle : si toute régulation est modulation, où se situe encore l’épreuve ? Où une normativité peut-elle être interrogée, discutée, refusée ? Le dissensus demeure structurel, mais non discursif ; il se joue dans les bifurcations des flux davantage que dans des scènes explicites de confrontation. L’instauration reste donc possible, mais sous une forme fuyante, infra-instituée, toujours à reconfigurer.</w:t>
      </w:r>
    </w:p>
    <w:p>
      <w:pPr>
        <w:pStyle w:val="BodyText"/>
        <w:rPr/>
      </w:pPr>
      <w:r>
        <w:rPr/>
        <w:t>Une telle régulation paraît surtout opératoire dans des champs de haute plasticité — pratiques artistiques, expérimentations collectives, réseaux ouverts, formes d’organisation non hiérarchiques — où la coordination repose moins sur la norme explicite que sur la connexion, la bifurcation et la recomposition des agencements. Ces formes donnent à voir une viabilité située, différentielle, modulée, mais aussi fragile et souvent éphémère. C’est en cela que la pensée deleuzo-guattarienne constitue une épreuve décisive pour l’hypothèse archicratique : elle pousse à ses limites la cratialité, altère l’arcalité et déplace l’archicration vers une consistance infra-politique. Mais elle laisse ouverte la question la plus difficile : une régulation sans scène instituée, sans langage commun et sans confrontation explicite peut-elle durablement soutenir une co-viabilité partagée ?</w:t>
      </w:r>
    </w:p>
    <w:p>
      <w:pPr>
        <w:pStyle w:val="Heading3"/>
        <w:numPr>
          <w:ilvl w:val="2"/>
          <w:numId w:val="2"/>
        </w:numPr>
        <w:rPr/>
      </w:pPr>
      <w:r>
        <w:rPr/>
        <w:t xml:space="preserve">3.6.2 — Technodiversité et cosmotechnie — </w:t>
      </w:r>
      <w:r>
        <w:rPr>
          <w:i/>
          <w:iCs/>
        </w:rPr>
        <w:t>une régulation post-universaliste</w:t>
      </w:r>
    </w:p>
    <w:p>
      <w:pPr>
        <w:pStyle w:val="BodyText"/>
        <w:rPr/>
      </w:pPr>
      <w:r>
        <w:rPr/>
        <w:t>Avec Yuk Hui, la réflexion sur les régimes machino-techniques se déplace sur un terrain majeur : celui de la pluralité des mondes techniques. Contre l’idée d’une rationalité technologique universelle, homogène et abstraitement instrumentale, il propose le concept de cosmotechnie, entendu comme articulation située entre des techniques, des cosmologies et des formes de vie. La technique n’y apparaît plus comme simple ensemble de moyens disponibles, mais comme médiation inséparable d’un rapport au monde, d’un horizon éthique et d’une orientation civilisationnelle. En ce sens, la technodiversité ne désigne pas une juxtaposition décorative de traditions, mais une contestation profonde de la techno-normalisation portée par l’universalisation moderne et, aujourd’hui, par le capitalisme computationnel global.</w:t>
      </w:r>
    </w:p>
    <w:p>
      <w:pPr>
        <w:pStyle w:val="BodyText"/>
        <w:rPr/>
      </w:pPr>
      <w:r>
        <w:rPr/>
        <w:t>L’apport majeur de Yuk Hui tient à ceci : il déplace la question de la technique du registre de l’efficacité vers celui du sens. Il ne s’agit plus seulement de demander ce qu’une technique permet de faire, mais dans quel monde elle s’inscrit, quelles formes d’existence elle rend possibles, quelles temporalités elle soutient, quels rapports entre nature, culture et communauté elle présuppose. La régulation cesse alors d’être simple optimisation externe ou gouvernance algorithmique désincarnée ; elle devient problème cosmopolitique, au sens fort, parce qu’elle engage des ordres du monde différenciés. La technique n’est plus neutre, et la diversité technique ne relève plus d’une simple variation fonctionnelle : elle devient enjeu ontologique et politique.</w:t>
      </w:r>
    </w:p>
    <w:p>
      <w:pPr>
        <w:pStyle w:val="BodyText"/>
        <w:rPr/>
      </w:pPr>
      <w:r>
        <w:rPr/>
        <w:t>Relue à partir du paradigme archicratique, cette pensée permet de reconfigurer fortement l’arcalité. Yuk Hui ne propose pas un ordre normatif universel, mais une pluralité d’architectures de sens : l’ordre ne précède pas la technique, il émerge de l’articulation entre des pratiques techniques et des cosmologies sous-jacentes. L’arcalité y devient ainsi ontologique, contextuelle et non centralisée. Elle ne prend pas la forme d’une loi supérieure ni d’un cadre juridico-politique homogène, mais celle d’une cohérence située entre manières d’habiter, d’interpréter et de fabriquer le monde. L’idée même d’une “re-cosmologisation” de la technique désigne ce geste : réinscrire les objets, les dispositifs et les infrastructures dans des visions du monde irréductibles à l’universalisme techniciste.</w:t>
      </w:r>
    </w:p>
    <w:p>
      <w:pPr>
        <w:pStyle w:val="BodyText"/>
        <w:rPr/>
      </w:pPr>
      <w:r>
        <w:rPr/>
        <w:t>La cratialité, de son côté, n’est ni pulsionnelle ni spectaculaire. Elle réside dans la possibilité de bifurquer, c’est-à-dire de rouvrir les devenirs techniques à d’autres orientations que celles imposées par l’universalisation technologique. Elle se concentre dans ces nœuds où une collectivité peut encore décider du type de monde qu’elle entend instituer, des dépendances qu’elle accepte ou refuse, des médiations qu’elle juge compatibles avec ses formes de vie. Cette puissance est discrète, mais décisive : elle ne s’exerce pas comme domination manifeste, mais comme capacité à interrompre l’évidence d’un devenir technique prétendument unique.</w:t>
      </w:r>
    </w:p>
    <w:p>
      <w:pPr>
        <w:pStyle w:val="BodyText"/>
        <w:rPr/>
      </w:pPr>
      <w:r>
        <w:rPr/>
        <w:t>Quant à l’archicration, elle prend chez Yuk Hui la forme d’un geste réflexif de réorientation. Il ne s’agit ni d’une décision souveraine ni d’une simple modulation diffuse, mais d’une bifurcation régulatrice capable d’interrompre la linéarité apparente du progrès technique pour rouvrir des possibles situés. L’instauration ne passe donc pas ici par un protocole formel d’épreuve, mais par une reprise collective des rapports entre technique, monde et destin historique. En ce sens, l’archicration cosmotechnique demeure opérante, mais sous une forme lente, spéculative et profondément exigeante : elle suppose qu’un collectif soit encore capable de se rapporter réflexivement à ses propres médiations techniques.</w:t>
      </w:r>
    </w:p>
    <w:p>
      <w:pPr>
        <w:pStyle w:val="BodyText"/>
        <w:rPr/>
      </w:pPr>
      <w:r>
        <w:rPr/>
        <w:t>Une telle pensée autorise une conception forte, mais fragile, de la co-viabilité. Forte, parce qu’elle ouvre la possibilité de régimes techniques différenciés, attentifs aux temporalités propres, aux écologies locales et aux formes de vie singulières. Fragile, parce qu’elle repose sur des conditions de réflexivité rarement réunies : fidélité non folklorique à des traditions vivantes, capacité d’invention institutionnelle, aptitude à penser techniquement sans reconduire l’universalisme abstrait. À ce titre, la cosmotechnie ne fournit pas un programme immédiatement applicable ; elle indique plutôt une ligne de bifurcation, un horizon de réouverture, une exigence de pluralisation régulatrice.</w:t>
      </w:r>
    </w:p>
    <w:p>
      <w:pPr>
        <w:pStyle w:val="BodyText"/>
        <w:rPr/>
      </w:pPr>
      <w:r>
        <w:rPr/>
        <w:t>On peut néanmoins comprendre pourquoi cette pensée importe au plus haut point pour notre enquête. Elle donne forme à une régulation post-universaliste, où les techniques cessent d’être pensées comme infrastructures neutres pour redevenir des lieux de composition entre monde, sens, communauté et orientation collective. Elle suggère ainsi que la co-viabilité technique ne passe ni par la simple souveraineté étatique ni par l’abandon au marché global, mais par l’invention de cadres capables de relier pratiques, milieux et horizons de signification. Sous cet angle, la cosmotechnie n’est pas seulement une critique de l’universalisation ; elle est aussi une tentative de rouvrir les conditions d’une régulation située des devenirs techniques.</w:t>
      </w:r>
    </w:p>
    <w:p>
      <w:pPr>
        <w:pStyle w:val="BodyText"/>
        <w:rPr/>
      </w:pPr>
      <w:r>
        <w:rPr/>
        <w:t>C’est pourtant ici que surgit sa difficulté principale. Si la cosmotechnie permet de pluraliser radicalement les régimes de sens, où se jouent concrètement les tensions, les confrontations et les arbitrages entre cosmotechniques hétérogènes ? Quelle scène commune peut accueillir ces différences sans les réduire à une norme unique ni les abandonner à un simple parallélisme ? La pensée de Yuk Hui pousse ainsi la pluralisation à un point tel qu’elle fragilise l’idée même d’un horizon régulateur commun. Elle constitue, pour l’Archicratie, une épreuve majeure : non parce qu’elle contredirait la nécessité de la régulation, mais parce qu’elle oblige à penser celle-ci dans un monde où aucun centre symbolique, aucune rationalité unifiée et aucun dispositif global de médiation ne peuvent plus aller de soi.</w:t>
      </w:r>
    </w:p>
    <w:p>
      <w:pPr>
        <w:pStyle w:val="BodyText"/>
        <w:rPr/>
      </w:pPr>
      <w:r>
        <w:rPr/>
        <w:t>La confrontation devient alors décisive. La cosmotechnie radicalise le multiple ; l’Archicratie tente d’en formaliser la scène. Toute la question est donc la suivante : comment penser une régulation qui ne sacrifie ni la pluralité des mondes techniques, ni la possibilité d’un commun disputable ?</w:t>
      </w:r>
    </w:p>
    <w:p>
      <w:pPr>
        <w:pStyle w:val="Heading3"/>
        <w:numPr>
          <w:ilvl w:val="2"/>
          <w:numId w:val="2"/>
        </w:numPr>
        <w:rPr/>
      </w:pPr>
      <w:r>
        <w:rPr/>
        <w:t xml:space="preserve">3.6.3 — Grammatisation et prolétarisation cognitive — </w:t>
      </w:r>
      <w:r>
        <w:rPr>
          <w:i/>
          <w:iCs/>
        </w:rPr>
        <w:t>une régulation industrielle</w:t>
      </w:r>
    </w:p>
    <w:p>
      <w:pPr>
        <w:pStyle w:val="BodyText"/>
        <w:rPr/>
      </w:pPr>
      <w:r>
        <w:rPr/>
        <w:t>Bernard Stiegler appartient à cette lignée de penseurs pour lesquels la technique ne saurait être réduite à un outil fonctionnel ou à un simple dispositif d’efficience extérieure. De La technique et le temps à La société automatique et Qu’appelle-t-on panser ?, son œuvre développe une pensée de la technique comme structure d’historicité et de formation du psychique comme du collectif. La technique n’y est ni adjuvant ni décor, mais condition même d’une temporalisation du monde et d’une mise en forme du nous. En ce sens, la régulation humaine est toujours déjà techno-logique.</w:t>
      </w:r>
    </w:p>
    <w:p>
      <w:pPr>
        <w:pStyle w:val="BodyText"/>
        <w:rPr/>
      </w:pPr>
      <w:r>
        <w:rPr/>
        <w:t>À rebours de tout humanisme abstrait, Stiegler radicalise l’intuition simondonienne selon laquelle l’humain se constitue par l’extériorisation technique. Ce qu’il nomme rétention tertiaire désigne ces inscriptions matérielles de la mémoire — écriture, image, objet, archive, calcul, code — qui orientent l’individuation psychique et collective. Il n’y a donc ni pensée sans support, ni politique sans médialité, ni socialité sans extériorisation symbolique. Toute régulation suppose dès lors des milieux techniques de mémoire, de transmission et d’attention.</w:t>
      </w:r>
    </w:p>
    <w:p>
      <w:pPr>
        <w:pStyle w:val="BodyText"/>
        <w:rPr/>
      </w:pPr>
      <w:r>
        <w:rPr/>
        <w:t>Le pivot de cette analyse est la grammatisation. Reprenant et prolongeant Leroi-Gourhan, Stiegler décrit l’histoire humaine comme celle de la discrétisation progressive des gestes, des perceptions et des savoirs par des dispositifs techniques qui transforment les continuités vécues en éléments manipulables. Chaque régime technique institue ainsi une nouvelle grammaire de l’action, de la perception et de la mémoire. La grammatisation ne constitue donc pas un phénomène secondaire : elle produit de nouveaux ordres temporels, cognitifs et sociaux, reconfigure les puissances d’attention et de désir, et ouvre ou ferme des possibilités d’individuation collective.</w:t>
      </w:r>
    </w:p>
    <w:p>
      <w:pPr>
        <w:pStyle w:val="BodyText"/>
        <w:rPr/>
      </w:pPr>
      <w:r>
        <w:rPr/>
        <w:t>Mais ce processus n’est jamais univoque. La technique est toujours pharmakon : à la fois remède et poison, condition de soin et risque de destruction. C’est ici que la pensée stieglerienne atteint sa force propre. La grammatisation algorithmique contemporaine — captation des traces, automatisation du jugement, désintermédiation cognitive — ne se borne pas à transformer les instruments ; elle désynchronise les régimes d’individuation. Elle rompt l’accord fragile entre temporalités psychiques, collectives et techniques, et produit ce que Stiegler analyse comme une prolétarisation généralisée : non plus seulement perte des savoir-faire, mais perte des savoirs-de-vivre et des savoirs-théoriser. La question n’est donc plus seulement celle de l’emprise technique, mais celle de la possibilité même, pour un collectif, de partager des horizons, des récits et des cadres d’attente.</w:t>
      </w:r>
    </w:p>
    <w:p>
      <w:pPr>
        <w:pStyle w:val="BodyText"/>
        <w:rPr/>
      </w:pPr>
      <w:r>
        <w:rPr/>
        <w:t>Relue dans notre lexique, l’arcalité stieglerienne ne relève ni de l’État ni du droit ni d’un principe transcendant d’ordre. Elle réside dans la capacité d’un collectif à produire du temps commun, à instituer une mémoire transmissible, une attention partagée et une intelligibilité des devenirs. Ce que Stiegler appelle synchronisation symbolique constitue ici le noyau arcal : sans elle, il n’y a ni culture, ni éducation, ni scène commune d’anticipation et de transmission. Mais cette synchronisation est précisément ce que le capitalisme numérique disruptif défait. L’ordre doit alors être reconquis, recomposé, réinstitué à travers un soin technique du symbolique.</w:t>
      </w:r>
    </w:p>
    <w:p>
      <w:pPr>
        <w:pStyle w:val="BodyText"/>
        <w:rPr/>
      </w:pPr>
      <w:r>
        <w:rPr/>
        <w:t>La cratialité, de son côté, n’est plus pensée comme souveraineté ou force brute. Elle réside dans la capacité d’un système technique à orienter le désir, à capter l’attention, à court-circuiter la délibération. L’économie libidinale devient ici décisive : industries culturelles, plateformes et médias numériques redistribuent les puissances d’investissement affectif en les automatisant. La cratialité devient ainsi prédictive, anticipante, hétéro-dirigée. Mais elle demeure un lieu de lutte. Toute la question est de savoir s’il est encore possible de ralentir les flux, de désautomatiser l’attention et de restaurer des formes de temporalité désirante qui ne soient pas immédiatement exploitées.</w:t>
      </w:r>
    </w:p>
    <w:p>
      <w:pPr>
        <w:pStyle w:val="BodyText"/>
        <w:rPr/>
      </w:pPr>
      <w:r>
        <w:rPr/>
        <w:t>C’est dans cette tension que se loge l’archicration stieglerienne. Elle n’apparaît ni comme acte souverain ni comme fondation classique, mais comme geste de désautomatisation : une reprise noétique par laquelle un collectif tente de rouvrir, dans le pharmakon lui-même, les conditions d’une réindividuation. L’archicration devient alors capacité à produire du temps différé, à ménager une distance réflexive et à rouvrir une scène pour l’esprit. Elle ne vise pas l’efficience, mais la reprise, la capacitation, la relance d’une attention partagée. La régulation n’est viable qu’à la condition d’être pensée, soignée et instituée à nouveau dans des milieux techniques reconfigurés.</w:t>
      </w:r>
    </w:p>
    <w:p>
      <w:pPr>
        <w:pStyle w:val="BodyText"/>
        <w:rPr/>
      </w:pPr>
      <w:r>
        <w:rPr/>
        <w:t>Une telle pensée autorise une conception forte mais exigeante de la co-viabilité. Celle-ci ne se réduit pas à la stabilité ni à l’ajustement des intérêts ; elle désigne la capacité d’un collectif à différer son devenir, à rouvrir des scènes de reprise où désir, pensée, langage et symbolisation puissent être recomposés contre l’automatisation. En ce sens, Stiegler fournit un outillage théorique particulièrement puissant pour les milieux pédagogiques, cognitifs, artistiques ou institutionnels où peuvent être instaurées des conditions de lenteur, d’attention et de réflexivité. Mais c’est aussi là que surgit sa limite : comment instituer durablement de tels dispositifs sans qu’ils soient aussitôt réabsorbés par les logiques de marché, de capture attentionnelle ou de gestion technicienne ?</w:t>
      </w:r>
    </w:p>
    <w:p>
      <w:pPr>
        <w:pStyle w:val="BodyText"/>
        <w:rPr/>
      </w:pPr>
      <w:r>
        <w:rPr/>
        <w:t>L’archicration, chez Stiegler, demeure souvent pensée dans la temporalité fragile de la reprise, du soin et de l’urgence. Elle peine parfois à se doter d’une architectonique politique pleinement explicite. C’est ici que l’hypothèse archicratique peut prolonger sa pensée. Là où Stiegler insiste sur la désautomatisation, l’Archicratie cherche à formaliser les épreuves régulatrices elles-mêmes, à articuler les temporalités du soin à des scènes de légitimation, de confrontation et de stabilisation. Elle permet ainsi de penser non seulement la reprise noétique, mais sa structuration en régime co-viable.</w:t>
      </w:r>
    </w:p>
    <w:p>
      <w:pPr>
        <w:pStyle w:val="BodyText"/>
        <w:rPr/>
      </w:pPr>
      <w:r>
        <w:rPr/>
        <w:t>Ce déplacement n’annule en rien la dette envers Stiegler ; il en révèle plutôt la portée. Son œuvre constitue pour nous une épreuve fondamentale, parce qu’elle rappelle que toute régulation est pharmacologique et toujours menacée par sa propre automatisation. L’Archicratie ne pourra valoir qu’à condition d’assumer cette vulnérabilité comme donnée constitutive de toute scène régulatrice. En ce sens, la pensée stieglerienne ne se contente pas d’éclairer les régimes machino-techniques : elle oblige à penser la régulation comme soin du temps, de l’attention et du commun — autrement dit comme un geste qui ne consiste pas seulement à instituer, mais à panser.</w:t>
      </w:r>
    </w:p>
    <w:p>
      <w:pPr>
        <w:pStyle w:val="Heading3"/>
        <w:numPr>
          <w:ilvl w:val="2"/>
          <w:numId w:val="2"/>
        </w:numPr>
        <w:rPr/>
      </w:pPr>
      <w:r>
        <w:rPr/>
        <w:t xml:space="preserve">3.6.4 — Gouvernementalité algorithmique — </w:t>
      </w:r>
      <w:r>
        <w:rPr>
          <w:i/>
          <w:iCs/>
        </w:rPr>
        <w:t>une régulation sans sujet et sans rupture</w:t>
      </w:r>
    </w:p>
    <w:p>
      <w:pPr>
        <w:pStyle w:val="BodyText"/>
        <w:rPr/>
      </w:pPr>
      <w:r>
        <w:rPr/>
        <w:t>L’analyse développée par Antoinette Rouvroy et Thomas Berns sous le nom de gouvernementalité algorithmique constitue l’un des diagnostics les plus pénétrants sur les mutations contemporaines du pouvoir. Là où Foucault décrivait encore des dispositifs articulant normes, subjectivations et institutions, Rouvroy et Berns identifient l’émergence d’un régime post-discursif dans lequel la régulation ne passe plus prioritairement par la loi, la parole ou la délibération, mais par la captation et l’exploitation corrélationnelle de masses de données. Le pouvoir n’y vise plus à former des sujets, mais à anticiper, orienter et préempter les comportements. La régulation devient alors infra-linguistique, infra-politique, infra-normative : elle n’argumente plus, elle calcule ; elle n’institue plus, elle optimise ; elle ne tranche plus, elle ajuste. Ce déplacement engage une mutation anthropo-politique majeure, puisqu’il affecte à la fois les conditions de la liberté, de la normativité et de la légitimité.</w:t>
      </w:r>
    </w:p>
    <w:p>
      <w:pPr>
        <w:pStyle w:val="BodyText"/>
        <w:rPr/>
      </w:pPr>
      <w:r>
        <w:rPr/>
        <w:t>La configuration de l’arcalité y devient inédite. Elle ne repose plus sur des formes instituées — droit, État, morale, coutume — mais sur une architecture discrète d’optimisation comportementale où les normes explicites tendent à être remplacées par des normativités latentes. Ce que Rouvroy nomme une « normativité sans norme » désigne précisément cet alignement progressif des conduites sur des régularités statistiques, sans qu’aucune instance ne les énonce, ne les interprète ou ne les justifie publiquement. L’ordre ne vient plus d’un centre ; il émerge d’un profilage corrélé, d’une moyenne glissante, d’un ajustement adaptatif. L’arcalité ne disparaît donc pas : elle se diffuse, se désymbolise et se dé-référence, jusqu’à faire apparaître un ordre sans archè explicite, ce que l’hypothèse archicratique ne peut précisément accepter sans critique.</w:t>
      </w:r>
    </w:p>
    <w:p>
      <w:pPr>
        <w:pStyle w:val="BodyText"/>
        <w:rPr/>
      </w:pPr>
      <w:r>
        <w:rPr/>
        <w:t>Quant à la cratialité, elle se trouve ici non pas mobilisée, mais neutralisée. Là où elle désigne d’ordinaire une énergie de conflictualité, de désir, d’affect ou de puissance instituante, la gouvernementalité algorithmique vise au contraire à désactiver les écarts avant qu’ils ne deviennent événements. Elle procède selon une logique préventive et probabiliste qui réduit la puissance à une anomalie comportementale à corriger ou à réintégrer. Le conflit n’y est plus affronté ; il est absorbé en amont. La cratialité devient ainsi statistique : non plus force à composer, mais bruit à réduire. C’est en cela que ce régime tend vers une société sans surprise, où l’institution se mue en simulation, la volonté en variable résiduelle, et le dissensus en dysfonctionnement.</w:t>
      </w:r>
    </w:p>
    <w:p>
      <w:pPr>
        <w:pStyle w:val="BodyText"/>
        <w:rPr/>
      </w:pPr>
      <w:r>
        <w:rPr/>
        <w:t>Reste alors la question de l’archicration. À certains égards, il y a bien instauration : des protocoles sont déployés, des architectures opératoires configurent le monde, des environnements de conduite sont mis en place. Mais cette instauration échappe à toute réflexivité publique, à toute délibération et à toute inscription symbolique partagée. L’archicration devient implémentation : non plus décision, épreuve ou fondation, mais paramétrage silencieux. Le monde ne change pas par seuils visibles ; il s’actualise ligne après ligne de code. C’est pourquoi la critique archicratique doit ici être maximale : la gouvernementalité algorithmique ne supprime pas seulement le conflit, elle tend à dépolitiser l’archicration elle-même.</w:t>
      </w:r>
    </w:p>
    <w:p>
      <w:pPr>
        <w:pStyle w:val="BodyText"/>
        <w:rPr/>
      </w:pPr>
      <w:r>
        <w:rPr/>
        <w:t>La question de la co-viabilité devient alors cruciale. À première vue, tout semble fonctionner : les comportements s’ajustent, les risques sont anticipés, les populations sont gérées avec une remarquable fluidité. Mais cette fluidité recouvre une désactivation profonde des capacités instituantes. La co-viabilité n’y est plus une épreuve partagée ni une élaboration collective des conditions du vivre-ensemble ; elle devient un simple état d’ajustement comportemental, inféré à partir d’agrégats de données et de modèles prédictifs. Elle n’est ni négociée, ni explicitée, ni ressentie : elle est calculée. En ce sens, elle ne constitue pas une viabilité commune au sens fort, mais une co-compatibilité minimale, sans horizon symbolique partagé ni légitimation réciproque.</w:t>
      </w:r>
    </w:p>
    <w:p>
      <w:pPr>
        <w:pStyle w:val="BodyText"/>
        <w:rPr/>
      </w:pPr>
      <w:r>
        <w:rPr/>
        <w:t>Le champ d’opérativité de ce régime montre à la fois sa puissance et sa limite. La gouvernementalité algorithmique excelle dans les espaces où les finalités peuvent être traduites en métriques et les comportements profilés en temps réel : logistique, publicité ciblée, sécurité prédictive, gestion des mobilités, tri social automatisé. Elle agit comme technologie d’environnement, en configurant le champ des possibles plutôt qu’en énonçant des interdits. Mais cette efficacité technique est inversement proportionnelle à sa capacité d’institution politique. Là où elle sait orienter les conduites, elle ne sait ni produire du commun, ni accueillir la dissension, ni instituer du symbolique. Elle régule les comportements, non le sens, la mémoire ou la légitimité. C’est pourquoi elle tend moins vers une politique du commun que vers une forme de nihilisme algorithmique.</w:t>
      </w:r>
    </w:p>
    <w:p>
      <w:pPr>
        <w:pStyle w:val="BodyText"/>
        <w:rPr/>
      </w:pPr>
      <w:r>
        <w:rPr/>
        <w:t>C’est dans cette béance que l’hypothèse archicratique trouve sa nécessité critique. Là où Rouvroy et Berns décrivent un pouvoir sans sujet, sans fondement explicite et sans scène de légitimation, l’Archicratie rappelle qu’aucune régulation viable ne peut faire l’économie d’une épreuve du commun. Elle ne s’oppose donc pas abstraitement au régime algorithmique ; elle le soumet à ses propres questions décisives : où sont ses scènes d’épreuve ? où sont ses médiations symboliques ? où s’élabore la légitimité de ce qu’il configure ? À chacune de ces questions, la gouvernementalité algorithmique répond par l’optimisation, l’implémentation discrète et l’effacement du sujet. C’est pourquoi elle constitue moins un régime archicratique qu’une de ses antithèses les plus radicales.</w:t>
      </w:r>
    </w:p>
    <w:p>
      <w:pPr>
        <w:pStyle w:val="BodyText"/>
        <w:rPr/>
      </w:pPr>
      <w:r>
        <w:rPr/>
        <w:t>Mais cette confrontation est aussi heuristique. La pensée de Rouvroy et Berns offre une cartographie irremplaçable des régulations sans scène, des normativités sans ancrage et des institutions sans langage. Elle oblige à penser comment réinstituer du symbolique, de la conflictualité et de la légitimation là même où le pouvoir prétend se déduire du calcul. En ce sens, elle ne se tient pas hors de l’Archicratie ; elle en constitue l’une des épreuves critiques majeures. Car ce que le pouvoir algorithmique traite comme résidu — conflit, incertitude, différend, parole — l’Archicratie le reconvoque comme noyau d’une régulation véritablement humaine. Toute la question devient alors celle-ci : comment rouvrir, au cœur même des architectures prédictives, des scènes d’archicration capables de restituer au commun sa dimension d’épreuve, de dispute et d’institution ?</w:t>
      </w:r>
    </w:p>
    <w:p>
      <w:pPr>
        <w:pStyle w:val="BodyText"/>
        <w:rPr/>
      </w:pPr>
      <w:r>
        <w:rPr/>
        <w:t>À travers Deleuze &amp; Guattari, Yuk Hui, Bernard Stiegler, puis Rouvroy &amp; Berns, une leçon commune se dégage : il n’existe pas de régulation techniquement opérante qui ne charrie en même temps une ontologie implicite, une politique du monde et une certaine figure de la normativité. Les régimes machino-techniques ne suspendent donc pas la question du politique ; ils la déplacent, la reconfigurent et, parfois, la désymbolisent. C’est en cela qu’ils constituent une épreuve décisive pour l’hypothèse archicratique.</w:t>
      </w:r>
    </w:p>
    <w:p>
      <w:pPr>
        <w:pStyle w:val="BodyText"/>
        <w:rPr/>
      </w:pPr>
      <w:r>
        <w:rPr/>
        <w:t>Avec Deleuze &amp; Guattari, la régulation se déplace vers les flux, les agencements et les modulations sans centre. La cratialité s’y intensifie, l’arcalité s’y défixe, et l’archicration y subsiste sous une forme diffuse, infra-scénique et instable. Cette pensée ne formalise pas la triade, mais elle en éprouve la limite extrême : celle d’une co-viabilité créative, acéphale, difficile à stabiliser.</w:t>
      </w:r>
    </w:p>
    <w:p>
      <w:pPr>
        <w:pStyle w:val="BodyText"/>
        <w:rPr/>
      </w:pPr>
      <w:r>
        <w:rPr/>
        <w:t xml:space="preserve">Avec Yuk Hui, la régulation se reterritorialise dans des cosmotechniques hétérogènes, irréductibles à un universalisme technique unique. L’arcalité et la cratialité y deviennent situées, et l’archicration prend la forme d’une bifurcation possible des devenirs techniques. Cette pensée ouvre ainsi l’horizon d’une co-viabilité différenciée, mais au prix d’une question décisive : </w:t>
      </w:r>
      <w:r>
        <w:rPr>
          <w:i/>
          <w:iCs/>
        </w:rPr>
        <w:t>comment maintenir une scène d’instauration sans dissoudre tout horizon commun ?</w:t>
      </w:r>
    </w:p>
    <w:p>
      <w:pPr>
        <w:pStyle w:val="BodyText"/>
        <w:rPr/>
      </w:pPr>
      <w:r>
        <w:rPr/>
        <w:t>Avec Bernard Stiegler, la triade se laisse approcher avec le plus de netteté : arcalité symbolique du temps partagé, cratialité industrielle de l’attention et du désir, archicration comme désautomatisation du milieu technique. La régulation y devient soin pharmacologique et travail de reprise contre la désynchronisation. C’est sans doute la pensée la plus proche de notre hypothèse, tout en en rappelant la fragilité constitutive.</w:t>
      </w:r>
    </w:p>
    <w:p>
      <w:pPr>
        <w:pStyle w:val="BodyText"/>
        <w:rPr/>
      </w:pPr>
      <w:r>
        <w:rPr/>
        <w:t>Avec Rouvroy &amp; Berns, nous touchons au point critique où la régulation tend à se retourner en calcul sans sujet, en normativité sans énonciation, en implémentation sans scène. La cratialité y est neutralisée, l’arcalité se dissout dans la corrélation, et l’archicration devient presque impensable. C’est précisément pourquoi cette pensée constitue pour l’Archicratie non un dehors, mais l’une de ses épreuves les plus radicales.</w:t>
      </w:r>
    </w:p>
    <w:p>
      <w:pPr>
        <w:pStyle w:val="BodyText"/>
        <w:rPr/>
      </w:pPr>
      <w:r>
        <w:rPr/>
        <w:t>De cette confrontation émerge un constat simple : aucune de ces pensées ne maintient explicitement et simultanément la co-tension entre arcalité, cratialité et archicration. Toutes en travaillent un fragment, une dissociation, une intensification ou une perte. L’apport propre de l’hypothèse archicratique consiste précisément à formaliser cette co-tension comme condition de lisibilité et de viabilité de la régulation.</w:t>
      </w:r>
    </w:p>
    <w:p>
      <w:pPr>
        <w:pStyle w:val="BodyText"/>
        <w:rPr/>
      </w:pPr>
      <w:r>
        <w:rPr/>
        <w:t>Il ne s’agit donc ni de hiérarchiser ces pensées, ni de les annexer, mais de les prendre au sérieux comme épreuves critiques de notre propre proposition. Ce que ce chapitre met au jour, ce n’est pas la supériorité abstraite de l’Archicratie, mais sa nécessité méthodique : celle d’un cadre où la régulation puisse être pensée comme co-tension entre ordre, puissance et instauration, sans être dissoute ni dans la fluidité machinique, ni dans la capture technique, ni dans l’implémentation silencieuse.</w:t>
      </w:r>
    </w:p>
    <w:p>
      <w:pPr>
        <w:pStyle w:val="BodyText"/>
        <w:rPr/>
      </w:pPr>
      <w:r>
        <w:rPr/>
        <w:t>La section suivante prolongera cette mise à l’épreuve sous la forme d’un tableau morphogénétique comparé. Il s’agira d’y rendre plus lisibles les écarts, les proximités, les limites et les puissances de ces régimes philosophiques, afin de préciser les conditions d’une co-viabilité archicratique située.</w:t>
      </w:r>
    </w:p>
    <w:p>
      <w:pPr>
        <w:pStyle w:val="BodyText"/>
        <w:rPr/>
      </w:pPr>
      <w:r>
        <w:rPr/>
        <w:t>Car la régulation n’est jamais un état déjà là. Elle est toujours une épreuve à instituer, une traversée à configurer, une composition à rendre viable. C’est à cette condition seulement — en assumant la dissymétrie, le dissensus et la nécessité de leur mise en forme — qu’une pensée du technique peut encore contribuer à l’élaboration d’un monde habitable.</w:t>
      </w:r>
    </w:p>
    <w:p>
      <w:pPr>
        <w:pStyle w:val="Heading2"/>
        <w:numPr>
          <w:ilvl w:val="1"/>
          <w:numId w:val="2"/>
        </w:numPr>
        <w:rPr/>
      </w:pPr>
      <w:r>
        <w:rPr>
          <w:b/>
          <w:bCs/>
        </w:rPr>
        <w:t>3.7 — Synthèse typologique des registres du pouvoir</w:t>
      </w:r>
    </w:p>
    <w:p>
      <w:pPr>
        <w:pStyle w:val="BodyText"/>
        <w:rPr/>
      </w:pPr>
      <w:r>
        <w:rPr/>
        <w:t>À l’issue du parcours engagé depuis l’ouverture de ce chapitre, une difficulté méthodologique et théorique se précise avec une acuité particulière : comment rendre comparables des pensées de la régulation qui ne partagent ni les mêmes objets, ni les mêmes horizons, ni les mêmes régimes d’énonciation, sans les réduire à une langue commune qui en trahirait la singularité ? Car ce que la traversée de Hobbes, Rousseau, Weber, Schmitt, Foucault, Habermas, Rancière, Ostrom, Mauss, Spinoza, Arendt, Lefort, Bourdieu, Simondon, Rosa, Latour, Deleuze et Guattari, Yuk Hui, Bernard Stiegler, puis Rouvroy et Berns a progressivement rendu manifeste, ce n’est pas la convergence implicite de doctrines hétérogènes vers une même structure, mais bien la dispersion des manières de penser ce qui fait tenir un monde — dispersion irréductible, dont toute totalisation précipitée manquerait la portée.</w:t>
      </w:r>
    </w:p>
    <w:p>
      <w:pPr>
        <w:pStyle w:val="BodyText"/>
        <w:rPr/>
      </w:pPr>
      <w:r>
        <w:rPr/>
        <w:t>Il s’agit désormais moins de prolonger l’exégèse ou d’ajouter une lecture supplémentaire que d’opérer un déplacement de plan : passer de l’analyse des configurations singulières à une mise en intelligibilité de leurs écarts, de leurs recouvrements partiels et de leurs tensions différentielles. Une telle opération ne peut prendre la forme d’une synthèse au sens classique, c’est-à-dire d’un rassemblement ordonné sous un principe unificateur. Elle exige au contraire une retenue : maintenir ouvertes les différences, préserver les hétérogénéités, et accepter que ce qui devient lisible ne le soit qu’à condition de ne pas être subsumé.</w:t>
      </w:r>
    </w:p>
    <w:p>
      <w:pPr>
        <w:pStyle w:val="BodyText"/>
        <w:rPr/>
      </w:pPr>
      <w:r>
        <w:rPr/>
        <w:t>Cette précaution s’impose d’autant plus que les pensées mobilisées ne se situent pas toutes sur un même plan. Certaines proposent des modèles explicites de la régulation politique ; d’autres élaborent des diagnostics critiques sur les formes contemporaines du pouvoir ; d’autres encore déplacent la question vers des ontologies du social, du technique ou du désir qui excèdent le cadre institutionnel. Les faire entrer dans une même grille reviendrait à les aplanir. La tâche consiste plutôt à isoler, à même ces pensées, des configurations opératoires — des manières de nouer force, ordre et exposition — susceptibles d’être mises en regard sans être assimilées.</w:t>
      </w:r>
    </w:p>
    <w:p>
      <w:pPr>
        <w:pStyle w:val="BodyText"/>
        <w:rPr/>
      </w:pPr>
      <w:r>
        <w:rPr/>
        <w:t>Les tableaux synoptiques correspondants sont reportés en annexes, afin de ne pas rompre ici la continuité de l’analyse.</w:t>
      </w:r>
    </w:p>
    <w:p>
      <w:pPr>
        <w:pStyle w:val="BodyText"/>
        <w:rPr/>
      </w:pPr>
      <w:r>
        <w:rPr/>
        <w:t>C’est en ce sens seulement qu’une « synthèse typologique » peut être envisagée : non comme classement des auteurs ni comme hiérarchisation des régimes, mais comme élaboration d’un espace de lisibilité où apparaissent des lignes de différenciation. Ces lignes ne sont pas des catégories, mais des directions de lecture : elles montrent selon quels axes les configurations se distinguent, se rapprochent ou se transforment. Leur fonction n’est pas de fixer des positions, mais de rendre sensibles des variations.</w:t>
      </w:r>
    </w:p>
    <w:p>
      <w:pPr>
        <w:pStyle w:val="BodyText"/>
        <w:rPr/>
      </w:pPr>
      <w:r>
        <w:rPr/>
        <w:t>Trois de ces lignes se sont progressivement imposées au fil du chapitre, non comme des concepts plaqués, mais comme des opérateurs descriptifs issus de l’analyse elle-même : ce que nous avons nommé arcalité, cratialité et archicration. Leur fonction, ici, consiste à permettre une mise en tension contrôlée des configurations étudiées, non à servir de grille interprétative universelle. Elles ne disent pas ce que les auteurs « pensent », mais ce que leurs analyses rendent visible quant aux conditions de tenue d’un ordre, à la manière dont il s’exécute, et aux formes sous lesquelles il peut encore être exposé à l’épreuve.</w:t>
      </w:r>
    </w:p>
    <w:p>
      <w:pPr>
        <w:pStyle w:val="BodyText"/>
        <w:rPr/>
      </w:pPr>
      <w:r>
        <w:rPr/>
        <w:t>L’arcalité désigne ainsi, de manière minimale, les modalités selon lesquelles un ordre se fonde, se justifie ou se transmet — qu’il s’agisse d’un contrat, d’une tradition, d’une norme diffuse ou d’une architecture technique. La cratialité renvoie aux formes d’effectuation, aux modes d’exercice de la puissance, qu’ils prennent la figure d’une souveraineté centralisée, d’une bureaucratie, d’un réseau de dispositifs ou d’une modulation algorithmique. Quant à l’archicration, elle permet de qualifier le statut de la scène : la manière dont un régime se rend — ou non — exposable, contestable, transformable.</w:t>
      </w:r>
    </w:p>
    <w:p>
      <w:pPr>
        <w:pStyle w:val="BodyText"/>
        <w:rPr/>
      </w:pPr>
      <w:r>
        <w:rPr/>
        <w:t>Mais il importe de le redire avec insistance : ces trois dimensions ne sont pas des catégories substantielles, encore moins des critères d’évaluation normatifs. Elles sont des opérateurs de lecture, dont la validité dépend précisément de leur capacité à ne pas écraser ce qu’elles décrivent. Leur usage exige donc une vigilance constante : ne jamais faire dire aux auteurs ce qu’ils ne disent pas, ne jamais projeter sur eux une architecture qui leur serait étrangère, ne jamais transformer un outil de comparaison en dispositif d’annexion.</w:t>
      </w:r>
    </w:p>
    <w:p>
      <w:pPr>
        <w:pStyle w:val="BodyText"/>
        <w:rPr/>
      </w:pPr>
      <w:r>
        <w:rPr/>
        <w:t>Ce scrupule n’est pas seulement une exigence de probité académique ; il conditionne la portée même de l’hypothèse archicratique. Car si celle-ci ne vaut que comme grille capable d’absorber et de redistribuer toutes les pensées rencontrées, alors elle ne produit rien d’autre qu’un effet de domination théorique. Elle ne devient opératoire qu’à la condition inverse : en se laissant affecter par les configurations qu’elle met en regard, en acceptant que certaines lui résistent, en reconnaissant que ses propres limites se dessinent dans cet exercice.</w:t>
      </w:r>
    </w:p>
    <w:p>
      <w:pPr>
        <w:pStyle w:val="BodyText"/>
        <w:rPr/>
      </w:pPr>
      <w:r>
        <w:rPr/>
        <w:t>C’est pourquoi la synthèse qui s’engage ici doit être comprise comme une mise à l’épreuve réciproque. Les pensées étudiées éclairent les dimensions de l’archicratie, mais l’archicratie, en retour, ne se maintient qu’en se laissant déstabiliser par elles. Ce jeu de tensions interdit toute clôture prématurée : il ne s’agit ni de conclure, ni de stabiliser définitivement un modèle, mais de rendre pensable un espace de variations.</w:t>
      </w:r>
    </w:p>
    <w:p>
      <w:pPr>
        <w:pStyle w:val="BodyText"/>
        <w:rPr/>
      </w:pPr>
      <w:r>
        <w:rPr/>
        <w:t>Dans cet espace, certaines configurations apparaissent comme privilégiant fortement l’exécution au détriment de la scène ; d’autres, au contraire, ouvrent largement la scène mais peinent à assurer l’effectivité ; d’autres encore déplacent la régulation vers des dispositifs où la scène tend à s’effacer. D’autres enfin explorent des formes de recomposition, où ces dimensions entrent dans des rapports plus complexes. Ce sont ces figures, non comme types fixes mais comme configurations tendancielles, que les sections suivantes vont déployer.</w:t>
      </w:r>
    </w:p>
    <w:p>
      <w:pPr>
        <w:pStyle w:val="BodyText"/>
        <w:rPr/>
      </w:pPr>
      <w:r>
        <w:rPr/>
        <w:t>Ce déplacement vers une topologie différentielle des régimes régulateurs ne vise donc pas à produire un tableau achevé du pouvoir, mais à rendre intelligible ce qui, dans chaque configuration, fait tenir ou défaire une co-viabilité. Il ne s’agit pas de dire quel régime serait préférable, mais de comprendre à quelles conditions un régime peut encore soutenir un monde commun sans en neutraliser les tensions constitutives.</w:t>
      </w:r>
    </w:p>
    <w:p>
      <w:pPr>
        <w:pStyle w:val="BodyText"/>
        <w:rPr/>
      </w:pPr>
      <w:r>
        <w:rPr/>
        <w:t>C’est à partir de cette exigence que la section suivante cherchera à dégager, à même les régimes analysés, les lignes selon lesquelles se redistribuent les rapports entre fondation, effectuation et exposition, afin de penser, sans réduction, la diversité des formes de régulation.</w:t>
      </w:r>
    </w:p>
    <w:p>
      <w:pPr>
        <w:pStyle w:val="Heading3"/>
        <w:numPr>
          <w:ilvl w:val="2"/>
          <w:numId w:val="2"/>
        </w:numPr>
        <w:rPr/>
      </w:pPr>
      <w:r>
        <w:rPr>
          <w:b/>
          <w:bCs/>
        </w:rPr>
        <w:t>3.7.1 — Lignes différentielles de la régulation</w:t>
      </w:r>
    </w:p>
    <w:p>
      <w:pPr>
        <w:pStyle w:val="BodyText"/>
        <w:rPr/>
      </w:pPr>
      <w:r>
        <w:rPr/>
        <w:t>Ce qui devient progressivement lisible, à mesure que l’on traverse les configurations hétérogènes étudiées, ce n’est pas l’existence de types stabilisés ni la possibilité de les ordonner selon une logique classificatoire, mais l’émergence de lignes de différenciation qui traversent les pensées elles-mêmes, les travaillent de l’intérieur et les mettent en variation. Ces lignes ne sont ni des catégories, ni des propriétés assignables une fois pour toutes ; elles sont des directions selon lesquelles les régimes se configurent, se déplacent, se déséquilibrent ou se recomposent. En ce sens, elles ne valent que comme opérateurs de lisibilité : elles permettent de rendre sensibles des écarts sans prétendre les résorber.</w:t>
      </w:r>
    </w:p>
    <w:p>
      <w:pPr>
        <w:pStyle w:val="BodyText"/>
        <w:rPr/>
      </w:pPr>
      <w:r>
        <w:rPr/>
        <w:t>Une première ligne, déjà entrevue à plusieurs reprises mais qui trouve ici son statut explicite, concerne les modalités de fondation et de transmission de l’ordre — ce que nous avons nommé, faute de terme plus adéquat, arcalité. D’emblée, cette dimension ne se laisse pas réduire à l’opposition entre fondation explicite et absence de fondement. Chez Hobbes, l’ordre procède d’un geste inaugural, contractuel, qui institue une autorité capable de garantir la sûreté ; chez Rousseau, la co-viabilité repose non plus sur la contrainte centralisée, mais sur l’intériorisation du commun ; chez Weber, il se distribue entre tradition, charisme et légalité rationnelle, sans jamais se réduire à une origine unique. Mais déjà, avec Mauss, l’ordre apparaît comme tissé dans des obligations réciproques qui ne relèvent ni d’un contrat explicite ni d’une pure spontanéité, tandis que chez Bourdieu, il s’inscrit dans des habitus, des structures incorporées qui orientent les pratiques sans passer par la conscience ni la décision.</w:t>
      </w:r>
    </w:p>
    <w:p>
      <w:pPr>
        <w:pStyle w:val="BodyText"/>
        <w:rPr/>
      </w:pPr>
      <w:r>
        <w:rPr/>
        <w:t>Ce déplacement se prolonge encore chez Simondon, pour qui la structuration ne précède pas les processus, mais émerge de l’individuation elle-même, ou chez Latour, où l’ordre ne peut plus être pensé comme transcendant aux réseaux d’actants qui le composent. De même, chez Rosa, la stabilité d’un monde dépend moins de fondements fixes que de régimes de résonance, c’est-à-dire de la qualité des relations qui permettent aux sujets d’entrer en rapport avec leur environnement. Dans ces configurations, l’arcalité ne disparaît pas ; elle se reconfigure, devenant tantôt immanente aux pratiques, tantôt incorporée, tantôt relationnelle. Elle cesse ainsi d’apparaître comme principe unique pour se distribuer dans des conditions de tenue variables selon les milieux, les temporalités et les formes de vie.</w:t>
      </w:r>
    </w:p>
    <w:p>
      <w:pPr>
        <w:pStyle w:val="BodyText"/>
        <w:rPr/>
      </w:pPr>
      <w:r>
        <w:rPr/>
        <w:t>Une deuxième ligne traverse ces configurations, celle des modalités d’effectuation — ce que nous avons désigné comme cratialité. Ici encore, la diversité des formes interdit toute réduction. Dans certaines configurations, la puissance s’exerce de manière centralisée, identifiable, concentrée : le souverain hobbesien, la décision schmittienne, ou encore, sous une forme rationalisée, l’appareil bureaucratique weberien. Mais dès que l’on se déplace vers d’autres pensées, cette centralité se dissout. Chez Foucault, la puissance devient capillaire, distribuée à travers des dispositifs, des normes, des techniques de gouvernement qui opèrent sans centre unique ; chez Deleuze et Guattari, elle se reformule comme flux désirants, comme capacités de connexion et de transformation qui ne relèvent d’aucune instance souveraine.</w:t>
      </w:r>
    </w:p>
    <w:p>
      <w:pPr>
        <w:pStyle w:val="BodyText"/>
        <w:rPr/>
      </w:pPr>
      <w:r>
        <w:rPr/>
        <w:t>Cette redistribution se complexifie encore avec les approches contemporaines du technique. Chez Stiegler, la puissance se loge dans les dispositifs de capture et d’orientation de l’attention, dans les industries culturelles et numériques qui reconfigurent les conditions mêmes du désir ; chez Rouvroy et Berns, elle devient algorithmique, opérant par corrélation, anticipation et préemption, sans passer par la volonté ni même par la représentation. Dans ces configurations, la cratialité ne disparaît pas ; elle change de régime : d’une puissance qui impose, on passe à une puissance qui oriente, module, préempte, parfois au point de rendre difficile toute localisation du pouvoir. Ce déplacement ne signifie pas une disparition de la force, mais une transformation de ses modes d’existence, qui rend plus problématique encore son identification et sa contestation.</w:t>
      </w:r>
    </w:p>
    <w:p>
      <w:pPr>
        <w:pStyle w:val="BodyText"/>
        <w:rPr/>
      </w:pPr>
      <w:r>
        <w:rPr/>
        <w:t>Une troisième ligne, enfin, concerne les modalités d’exposition et de mise à l’épreuve — ce que nous avons appelé archicration. C’est probablement sur ce point que les écarts se marquent avec le plus de netteté. Certaines configurations instituent explicitement des scènes de confrontation : chez Habermas, la délibération publique constitue le lieu où les normes peuvent être discutées et validées ; chez Rancière, le dissensus ouvre un espace où les partages du sensible peuvent être contestés ; chez Lefort, le pouvoir démocratique se caractérise précisément par l’impossibilité de s’incarner définitivement, laissant la place du pouvoir comme lieu vide, toujours exposé à la dispute. Arendt, de son côté, insiste sur la dimension d’apparition : le politique advient là où des individus se montrent, parlent et agissent ensemble dans un espace commun.</w:t>
      </w:r>
    </w:p>
    <w:p>
      <w:pPr>
        <w:pStyle w:val="BodyText"/>
        <w:rPr/>
      </w:pPr>
      <w:r>
        <w:rPr/>
        <w:t>Mais cette scène peut aussi se réduire, se déplacer ou s’effacer. Chez Schmitt, elle se trouve suspendue dans l’exception ; chez Foucault, elle se fragmente en une multiplicité d’épreuves locales, souvent peu visibles ; chez les régimes contemporains analysés par Rouvroy et Berns, elle tend à être préemptée, les décisions étant prises en amont de toute délibération explicite. Même chez Deleuze et Guattari, où les agencements produisent des formes d’expérimentation, la scène ne se stabilise pas nécessairement comme lieu de confrontation explicite. L’archicration apparaît ainsi comme une dimension instable, toujours menacée : parfois surcodée par des institutions qui la figent, ailleurs dissoute dans des flux qui la rendent insaisissable, ou évacuée par des dispositifs qui la court-circuitent.</w:t>
      </w:r>
    </w:p>
    <w:p>
      <w:pPr>
        <w:pStyle w:val="BodyText"/>
        <w:rPr/>
      </w:pPr>
      <w:r>
        <w:rPr/>
        <w:t>Ces trois lignes — fondation, effectuation, exposition — ne définissent pas des domaines séparés, mais des dimensions en tension, dont les configurations étudiées offrent des combinaisons singulières. Certaines privilégient la fondation au détriment de l’exposition ; d’autres maximisent l’exposition tout en fragilisant l’effectuation ; d’autres encore déplacent l’effectuation vers des dispositifs techniques qui reconfigurent simultanément la fondation et la scène. Il s’agit ici de rendre sensibles ces déséquilibres constitutifs, sans lesquels aucune configuration ne devient pleinement intelligible.</w:t>
      </w:r>
    </w:p>
    <w:p>
      <w:pPr>
        <w:pStyle w:val="BodyText"/>
        <w:rPr/>
      </w:pPr>
      <w:r>
        <w:rPr/>
        <w:t>Ce qui apparaît alors, de manière plus nette, c’est que la question de la co-viabilité ne peut être posée indépendamment de ces tensions. Un régime peut assurer une forte stabilité au prix d’une fermeture de la scène ; un autre peut ouvrir largement la possibilité du dissensus tout en peinant à produire des décisions effectives ; un autre encore peut optimiser les comportements sans produire de sens partagé. Il n’existe pas de configuration qui résolve une fois pour toutes ces tensions. Toute tentative en ce sens conduirait soit à la rigidification, soit à la dissolution.</w:t>
      </w:r>
    </w:p>
    <w:p>
      <w:pPr>
        <w:pStyle w:val="BodyText"/>
        <w:rPr/>
      </w:pPr>
      <w:r>
        <w:rPr/>
        <w:t>C’est ici que la rigueur méthodologique doit être maintenue avec le plus de fermeté. Car la tentation serait grande de transformer ces lignes différentielles en critères d’évaluation, et d’ériger l’articulation entre arcalité, cratialité et archicration en norme implicite permettant de juger les régimes. Une telle dérive reconduirait exactement ce que l’analyse cherchait à éviter : la subsomption des pensées sous un cadre unique. Les lignes proposées ne valent donc pas comme normes ; elles servent à mettre les configurations en tension. Elles permettent de poser des questions — où se fonde l’ordre ? comment s’exerce la puissance ? où se joue l’épreuve ? — sans préjuger des réponses.</w:t>
      </w:r>
    </w:p>
    <w:p>
      <w:pPr>
        <w:pStyle w:val="BodyText"/>
        <w:rPr/>
      </w:pPr>
      <w:r>
        <w:rPr/>
        <w:t>En retour, ces questions affectent l’hypothèse archicratique elle-même. Car si celle-ci prétend offrir un cadre de lisibilité des régimes de régulation, elle ne peut le faire qu’à la condition de ne pas s’ériger en principe surplombant. Elle doit accepter que certaines configurations excèdent ses catégories, que d’autres les déplacent, que d’autres encore les mettent en crise. La valeur de l’hypothèse ne réside pas dans sa capacité à tout intégrer, mais dans sa capacité à rester opératoire face à ce qui lui résiste.</w:t>
      </w:r>
    </w:p>
    <w:p>
      <w:pPr>
        <w:pStyle w:val="BodyText"/>
        <w:rPr/>
      </w:pPr>
      <w:r>
        <w:rPr/>
        <w:t>Ainsi comprises, les lignes différentielles de la régulation ne constituent pas une typologie au sens fort, mais un espace minimal de repérage : un espace dans lequel des configurations peuvent être situées relativement les unes aux autres, non pour être classées, mais pour être mises en rapport. Cet espace n’est pas clos ; il est traversé par des tensions, ouvert à des transformations, susceptible d’être reconfiguré à mesure que de nouvelles formes de régulation apparaissent.</w:t>
      </w:r>
    </w:p>
    <w:p>
      <w:pPr>
        <w:pStyle w:val="BodyText"/>
        <w:rPr/>
      </w:pPr>
      <w:r>
        <w:rPr/>
        <w:t>C’est à partir de cette topologie que la suite pourra interroger plus précisément les formes de co-viabilité rendues possibles — ou impossibles — par les différentes configurations. Mais avant cela, il importe de maintenir ce point d’équilibre fragile : rendre comparables sans réduire, différencier sans hiérarchiser, et laisser les tensions apparaître sans chercher à les résoudre prématurément.</w:t>
      </w:r>
    </w:p>
    <w:p>
      <w:pPr>
        <w:pStyle w:val="BodyText"/>
        <w:rPr/>
      </w:pPr>
      <w:r>
        <w:rPr/>
        <w:t>Une vue synoptique des auteurs, des modes de force, des formes d’héritage, des statuts de scène et des types de co-viabilité correspondants est proposée en annexe A.</w:t>
      </w:r>
    </w:p>
    <w:p>
      <w:pPr>
        <w:pStyle w:val="Heading3"/>
        <w:numPr>
          <w:ilvl w:val="2"/>
          <w:numId w:val="2"/>
        </w:numPr>
        <w:rPr/>
      </w:pPr>
      <w:r>
        <w:rPr>
          <w:b/>
          <w:bCs/>
        </w:rPr>
        <w:t>3.7.2 — Figures de co-viabilité et tensions constitutives</w:t>
      </w:r>
    </w:p>
    <w:p>
      <w:pPr>
        <w:pStyle w:val="BodyText"/>
        <w:rPr/>
      </w:pPr>
      <w:r>
        <w:rPr/>
        <w:t>Si les lignes différentielles dégagées précédemment permettent de situer les régimes régulateurs selon des variations de fondation, d’effectuation et d’exposition, leur portée ne se révèle pleinement qu’à partir d’une autre question, plus exigeante encore : celle des formes de co-viabilité que ces configurations rendent effectivement possibles. Décrire comment un ordre se fonde, comment une puissance s’exerce ou comment une scène s’ouvre ne suffit pas ; il faut encore comprendre ce que ces agencements permettent de soutenir, dans la durée, comme forme de vie commune. Or, sur ce point, aucune configuration ne peut être pensée indépendamment de la tension qui la constitue : ce qu’elle rend possible est inséparable de ce qu’elle tend simultanément à empêcher.</w:t>
      </w:r>
    </w:p>
    <w:p>
      <w:pPr>
        <w:pStyle w:val="BodyText"/>
        <w:rPr/>
      </w:pPr>
      <w:r>
        <w:rPr/>
        <w:t>Certaines configurations apparaissent d’abord comme maximisant la stabilité. Chez Hobbes, la centralisation de la contrainte produit une co-viabilité fondée sur la sûreté : ce qui est visé, avant tout, est la sortie de la guerre de tous contre tous, par la neutralisation des conflits internes. Une telle configuration permet effectivement de stabiliser un espace commun, en réduisant l’incertitude et en assurant l’exécution des décisions. Mais cette stabilité a un prix : la scène de contestation se trouve fortement réduite, et avec elle la possibilité d’une transformation interne du régime. La co-viabilité y est obtenue par pacification, mais au prix d’une fermeture qui rend plus difficile toute reprise collective de l’ordre institué.</w:t>
      </w:r>
    </w:p>
    <w:p>
      <w:pPr>
        <w:pStyle w:val="BodyText"/>
        <w:rPr/>
      </w:pPr>
      <w:r>
        <w:rPr/>
        <w:t>Dans une autre configuration, comme celle que propose Rousseau, la co-viabilité ne repose plus sur la contrainte centralisée, mais sur l’intériorisation du commun. La volonté générale, en tant qu’elle exprime l’auto-législation d’un corps politique, vise une forme d’unité où chacun obéit à la loi qu’il s’est donnée. Ce modèle permet de penser une co-viabilité fondée sur l’adhésion et la participation, plutôt que sur la seule coercition. Mais là encore, la tension est manifeste : en faisant de la conformité à la volonté générale la condition de la liberté, il tend à disqualifier le dissensus, à le requalifier en erreur ou en déviation. Le gain de cohésion peut alors se payer d’une moindre capacité à accueillir la conflictualité.</w:t>
      </w:r>
    </w:p>
    <w:p>
      <w:pPr>
        <w:pStyle w:val="BodyText"/>
        <w:rPr/>
      </w:pPr>
      <w:r>
        <w:rPr/>
        <w:t>Chez Weber, la co-viabilité prend une autre forme : celle de la prévisibilité procédurale. L’institution bureaucratique, en codifiant les règles, en stabilisant les fonctions et en assurant la continuité de l’action, permet de produire un ordre relativement fiable, où les décisions ne dépendent pas d’arbitraires personnels. Cette configuration rend possible une coordination à grande échelle, indispensable aux sociétés complexes. Mais elle introduit également une inertie : la règle tend à se reproduire elle-même, et la capacité de révision se trouve limitée par la rigidité des procédures. La co-viabilité est ici assurée par la formalisation, mais au risque d’une perte de plasticité.</w:t>
      </w:r>
    </w:p>
    <w:p>
      <w:pPr>
        <w:pStyle w:val="BodyText"/>
        <w:rPr/>
      </w:pPr>
      <w:r>
        <w:rPr/>
        <w:t>À l’opposé apparent de ces modèles, certaines configurations mettent l’accent sur l’ouverture de la scène. Chez Habermas, la co-viabilité repose sur la possibilité d’une délibération libre, où les normes peuvent être soumises à l’épreuve de l’argumentation. Chez Rancière, elle s’ancre dans la capacité des sans-part à faire irruption dans l’espace du visible, à contester les partages établis. Chez Lefort, elle dépend de la vacance du lieu du pouvoir, qui empêche toute appropriation définitive et maintient l’espace politique ouvert. Dans ces configurations, la co-viabilité ne se définit plus par la stabilité ou la conformité, mais par la capacité à maintenir une scène de contestation active.</w:t>
      </w:r>
    </w:p>
    <w:p>
      <w:pPr>
        <w:pStyle w:val="BodyText"/>
        <w:rPr/>
      </w:pPr>
      <w:r>
        <w:rPr/>
        <w:t>Cependant, cette ouverture n’est pas sans condition. La délibération habermassienne suppose des asymétries réduites, des ressources cognitives et temporelles disponibles, des institutions capables d’accueillir la parole ; le dissensus ranciérien, pour être effectif, nécessite des conditions d’apparition qui ne sont pas toujours réunies. La scène peut alors devenir formelle, voire illusoire, si les conditions matérielles de son effectivité ne sont pas assurées. La co-viabilité, dans ces configurations, est pensée comme possibilité d’être discuté publiquement, mais elle peut se heurter à des limites pratiques qui en restreignent la portée.</w:t>
      </w:r>
    </w:p>
    <w:p>
      <w:pPr>
        <w:pStyle w:val="BodyText"/>
        <w:rPr/>
      </w:pPr>
      <w:r>
        <w:rPr/>
        <w:t>D’autres approches déplacent encore la question. Chez Ostrom, la co-viabilité se construit dans des dispositifs locaux de gestion des communs, où les règles sont élaborées et ajustées par les acteurs eux-mêmes. Ce modèle montre qu’il est possible de maintenir des ressources partagées sans passer par une centralisation étatique ni par une pure logique de marché. Il met en évidence l’importance du suivi mutuel, des sanctions graduées et de l’ancrage dans des contextes spécifiques. Mais cette réussite locale rencontre une limite propre : dès lors qu’il faut articuler plusieurs systèmes de règles, affronter des interdépendances plus vastes ou changer d’échelle, la robustesse acquise dans la proximité ne se transpose pas sans reste. La co-viabilité y est forte, mais située.</w:t>
      </w:r>
    </w:p>
    <w:p>
      <w:pPr>
        <w:pStyle w:val="BodyText"/>
        <w:rPr/>
      </w:pPr>
      <w:r>
        <w:rPr/>
        <w:t>Dans une tout autre direction, les pensées de Deleuze et Guattari proposent une conception de la co-viabilité comme processus de création et de recomposition permanente. Les agencements permettent de produire des formes de vie nouvelles, de déterritorialiser des structures figées, de faire émerger des lignes de fuite. Cette dynamique ouvre des possibilités inédites, en refusant toute fixation définitive. Mais elle reconduit aussitôt la question de la tenue : l’invention laisse-t-elle autre chose qu’une intensité passagère ? la transformation dépose-t-elle des formes assez stables pour pouvoir être reprises ? La co-viabilité y est inventive, mais souvent précaire, exposée au risque d’évanescence.</w:t>
      </w:r>
    </w:p>
    <w:p>
      <w:pPr>
        <w:pStyle w:val="BodyText"/>
        <w:rPr/>
      </w:pPr>
      <w:r>
        <w:rPr/>
        <w:t>Avec Stiegler, la question se reformule autour du temps et de l’attention. La co-viabilité dépend de la capacité des collectifs à maintenir des régimes de temporalité qui permettent la transmission, la réflexion, la projection. La désynchronisation produite par les dispositifs techniques contemporains menace cette capacité, en accélérant les flux et en captant l’attention. La régulation devient alors un travail de soin, visant à restaurer des processus d’individuation collective. Cette approche met en lumière une dimension essentielle : sans temporalité partagée, aucune co-viabilité durable n’est possible. Mais elle se heurte à une difficulté d’institutionnalisation : comment inscrire ce soin dans des dispositifs stables sans le transformer en nouvelle forme de contrôle ?</w:t>
      </w:r>
    </w:p>
    <w:p>
      <w:pPr>
        <w:pStyle w:val="BodyText"/>
        <w:rPr/>
      </w:pPr>
      <w:r>
        <w:rPr/>
        <w:t>Enfin, les analyses de Rouvroy et Berns conduisent à envisager une configuration où la co-viabilité semble assurée par l’optimisation des comportements eux-mêmes. Les dispositifs algorithmiques permettent d’ajuster en continu les conduites, de prévenir les risques, de fluidifier les interactions. Tout se passe comme si le problème de la coordination était résolu en amont, par la préemption des écarts. Mais cette apparente efficacité masque une transformation profonde : la co-viabilité n’est plus élaborée collectivement, elle est calculée. Elle ne repose plus sur une scène partagée, mais sur des corrélations statistiques. Ce qui est perdu, alors, ce n’est pas seulement la conflictualité, mais la possibilité même de se rapporter à un commun comme tel.</w:t>
      </w:r>
    </w:p>
    <w:p>
      <w:pPr>
        <w:pStyle w:val="BodyText"/>
        <w:rPr/>
      </w:pPr>
      <w:r>
        <w:rPr/>
        <w:t>À travers ces configurations, une constante se dégage : chaque forme de co-viabilité repose sur une tension spécifique entre ce qu’elle permet et ce qu’elle exclut. Aucune ne réalise une synthèse complète des dimensions en jeu. La stabilité peut se payer d’une fermeture ; l’ouverture, d’une inefficacité ; la distribution, d’une difficulté de coordination ; l’optimisation, d’une perte de sens partagé. Ces tensions ne sont pas des défauts accidentels ; elles sont constitutives des régimes eux-mêmes.</w:t>
      </w:r>
    </w:p>
    <w:p>
      <w:pPr>
        <w:pStyle w:val="BodyText"/>
        <w:rPr/>
      </w:pPr>
      <w:r>
        <w:rPr/>
        <w:t>C’est pourquoi il serait trompeur de chercher à identifier une configuration qui réaliserait un équilibre idéal. Une telle configuration supposerait la résolution des tensions, c’est-à-dire leur disparition, ce qui reviendrait à neutraliser ce qui fait précisément la dynamique des régimes régulateurs. La co-viabilité doit être pensée comme une tenue sous tension : une capacité à maintenir ensemble des dimensions hétérogènes sans les réduire les unes aux autres.</w:t>
      </w:r>
    </w:p>
    <w:p>
      <w:pPr>
        <w:pStyle w:val="BodyText"/>
        <w:rPr/>
      </w:pPr>
      <w:r>
        <w:rPr/>
        <w:t>Le regard se déplace alors : la question n’est plus de savoir quel régime serait le meilleur, mais comment un régime tient, et à quel prix. Quelles dimensions privilégie-t-il ? lesquelles sacrifie-t-il ? Quelles formes de conflictualité permet-il encore ? Quelles possibilités de transformation laisse-t-il ouvertes ? Ces questions ne visent pas à juger de l’extérieur, mais à rendre visible l’économie interne des configurations.</w:t>
      </w:r>
    </w:p>
    <w:p>
      <w:pPr>
        <w:pStyle w:val="BodyText"/>
        <w:rPr/>
      </w:pPr>
      <w:r>
        <w:rPr/>
        <w:t>En retour, elles affectent la manière dont peut être comprise l’hypothèse archicratique. Si celle-ci ne doit pas devenir un modèle normatif, elle ne peut se contenter de décrire des tensions ; elle doit permettre de les penser comme telles, c’est-à-dire de les maintenir ouvertes sans chercher à les résoudre. Sa fonction n’est pas d’indiquer un équilibre à atteindre, mais de rendre perceptible ce qui, dans chaque configuration, fait travailler la relation entre fondation, puissance et scène.</w:t>
      </w:r>
    </w:p>
    <w:p>
      <w:pPr>
        <w:pStyle w:val="BodyText"/>
        <w:rPr/>
      </w:pPr>
      <w:r>
        <w:rPr/>
        <w:t>Ainsi, les figures de co-viabilité qui se dessinent ici ne doivent pas être comprises comme des modèles à reproduire, mais comme des configurations à interroger. Elles offrent des prises, des points d’appui pour penser des situations concrètes, mais elles exigent toujours d’être réinscrites dans des contextes spécifiques. Leur valeur n’est pas universelle ; elle est située, dépendante des conditions dans lesquelles elles opèrent.</w:t>
      </w:r>
    </w:p>
    <w:p>
      <w:pPr>
        <w:pStyle w:val="BodyText"/>
        <w:rPr/>
      </w:pPr>
      <w:r>
        <w:rPr/>
        <w:t>Ce qui se joue alors, à travers cette analyse, ce n’est pas la possibilité d’une synthèse définitive, mais l’ouverture d’un espace de discernement. Un espace où il devient possible de reconnaître les formes de co-viabilité à l’œuvre, d’en saisir les tensions, et d’en mesurer les limites sans les absolutiser. C’est dans cet espace que pourra être interrogée, dans la section suivante, la manière dont ces configurations se déséquilibrent, se saturent ou basculent, lorsque les tensions qu’elles portent ne sont plus tenues mais absorbées.</w:t>
      </w:r>
    </w:p>
    <w:p>
      <w:pPr>
        <w:pStyle w:val="BodyText"/>
        <w:rPr/>
      </w:pPr>
      <w:r>
        <w:rPr/>
        <w:t>Les principales configurations d’apports régulateurs, d’angles morts et de contre-prises associées sont regroupées sous forme comparative en annexe B.</w:t>
      </w:r>
    </w:p>
    <w:p>
      <w:pPr>
        <w:pStyle w:val="Heading3"/>
        <w:numPr>
          <w:ilvl w:val="2"/>
          <w:numId w:val="2"/>
        </w:numPr>
        <w:rPr/>
      </w:pPr>
      <w:r>
        <w:rPr>
          <w:b/>
          <w:bCs/>
        </w:rPr>
        <w:t>3.7.3 — Déséquilibres critiques et seuils de bascule</w:t>
      </w:r>
    </w:p>
    <w:p>
      <w:pPr>
        <w:pStyle w:val="BodyText"/>
        <w:rPr/>
      </w:pPr>
      <w:r>
        <w:rPr/>
        <w:t>Aucune configuration régulatrice n’est à l’abri de sa propre dérive. Ce n’est ni qu’elle serait secrètement vouée à l’échec, ni que toute tentative d’institution devrait fatalement se retourner contre elle-même ; c’est qu’aucun régime de co-viabilité ne peut demeurer vivant s’il absolutise l’un des pôles qui le rendent possible. Dès qu’une forme de puissance s’autonomise sans reprise, dès qu’un héritage se fige en évidence indisponible, dès qu’une scène de mise à l’épreuve se vide de toute prise réelle ou, à l’inverse, se dissout dans une ouverture sans consistance, la régulation cesse de composer les tensions et commence à les neutraliser, à les moraliser, à les préempter ou à les disperser. C’est à partir de là qu’apparaissent des seuils de bascule : des points critiques où une configuration commence à perdre sa capacité de co-viabilité, parce qu’un de ses principes se rigidifie, s’autonomise ou absorbe les autres au lieu de demeurer pris dans une tension réglée.</w:t>
      </w:r>
    </w:p>
    <w:p>
      <w:pPr>
        <w:pStyle w:val="BodyText"/>
        <w:rPr/>
      </w:pPr>
      <w:r>
        <w:rPr/>
        <w:t>L’intérêt d’une telle approche est de permettre une description interne des dérives. Elle permet d’éviter deux erreurs symétriques. La première consisterait à croire qu’un régime devient critiquable seulement lorsqu’il produit des effets ouvertement destructeurs ; or les bascules les plus graves commencent presque toujours par des gains réels devenus exclusifs. La seconde reviendrait à traiter toutes les dérives comme équivalentes, alors qu’elles procèdent de déséquilibres distincts, exigeant des reprises différentes. Il ne s’agit donc pas uniquement d’identifier des fragilités générales, mais aussi de décrire des morphologies de désajustement, c’est-à-dire des manières spécifiques pour une configuration de perdre sa capacité de co-viabilité. Ce que montre alors l’analyse, c’est qu’une régulation ne s’effondre pas d’un seul coup : elle se dérègle par saturation, lorsqu’un principe utile devient principe unique, lorsqu’une fonction nécessaire prétend valoir pour le tout, lorsqu’un gain local absorbe la structure entière.</w:t>
      </w:r>
    </w:p>
    <w:p>
      <w:pPr>
        <w:pStyle w:val="BodyText"/>
        <w:rPr/>
      </w:pPr>
      <w:r>
        <w:rPr/>
        <w:t>Un premier seuil critique apparaît lorsque la puissance d’exécution se sépare de toute scène de reprise et se referme sur sa propre nécessité. Nous avons rencontré cette tentation chez les penseurs de la centralisation de la contrainte, de la décision souveraine ou de l’office rationalisé : Hobbes, Schmitt, certains usages wébériens de la procédure. Dans tous ces cas, un gain essentiel est préservé : la capacité d’arrêter l’indétermination, de soutenir un ordre opératoire, et d’empêcher qu’une conflictualité sans forme n’emporte le monde commun. Mais cette capacité devient destructrice lorsqu’elle ne se laisse plus affecter par ce qu’elle régule. Le seuil de bascule se situe alors dans ce que l’on pourrait nommer l’</w:t>
      </w:r>
      <w:r>
        <w:rPr>
          <w:i/>
          <w:iCs/>
        </w:rPr>
        <w:t>empêchement</w:t>
      </w:r>
      <w:r>
        <w:rPr/>
        <w:t xml:space="preserve"> : non la simple autorité, mais l’exécution devenue telle qu’elle interdit la remontée des objections, bloque la reformulation des règles et transforme la scène politique en simple espace d’application. La puissance ne se contente plus d’opérer ; elle empêche que son propre exercice devienne matière à épreuve. La fermeture n’est donc pas seulement juridique ou institutionnelle ; elle est morphologique. Une configuration bascule dans l’empêchement lorsqu’elle ne connaît plus que la question du maintien, et plus celle de la révision.</w:t>
      </w:r>
    </w:p>
    <w:p>
      <w:pPr>
        <w:pStyle w:val="BodyText"/>
        <w:rPr/>
      </w:pPr>
      <w:r>
        <w:rPr/>
        <w:t xml:space="preserve">Un deuxième seuil se dessine lorsque l’héritage, au lieu de servir d’appui à l’instauration, se transforme en norme morale saturante. Cette dérive apparaît chaque fois que l’héritage civique, éthique ou symbolique cesse d’être un appui interprétable pour devenir une évidence normative indisponible. On peut en repérer une possibilité dans certaines lectures durcies de Rousseau, mais aussi, plus largement, dans tous les régimes où l’arcalité se présente comme fidélité obligatoire à un commun supposé aller de soi. Là encore, le point de départ n’est pas illégitime : aucune société ne tient sans mémoire, sans mœurs, sans formes d’intériorisation du commun. Mais la bascule survient lorsque cette mémoire cesse d’être interprétable et devient critère de distinction entre ceux qui appartiennent pleinement à la scène et ceux qui ne feraient qu’en perturber l’ordre. Le désaccord n’est plus alors affronté comme tension interne au commun, mais discrédité comme défaut de vertu, de loyauté ou d’adhésion. Nous nommerons ce seuil la </w:t>
      </w:r>
      <w:r>
        <w:rPr>
          <w:i/>
          <w:iCs/>
        </w:rPr>
        <w:t>moralisation</w:t>
      </w:r>
      <w:r>
        <w:rPr/>
        <w:t>. Il ne détruit pas la scène par la force, mais par disqualification préalable des voix qui devraient pourtant y comparaître. La régulation s’y fige en évidence morale ; elle n’a plus à réfuter, puisqu’elle commence par distribuer les places de la recevabilité. Ce n’est plus le conflit qui devient moteur de transformation, mais la conformité à un bien présumé qui distribue d’avance la recevabilité des paroles.</w:t>
      </w:r>
    </w:p>
    <w:p>
      <w:pPr>
        <w:pStyle w:val="BodyText"/>
        <w:rPr/>
      </w:pPr>
      <w:r>
        <w:rPr/>
        <w:t xml:space="preserve">Un troisième seuil de bascule concerne les régimes où la régulation tend à prévenir l’écart avant même qu’il n’apparaisse. Ce seuil a trouvé sa formulation la plus aiguë dans l’étude des dispositifs normatifs capillaires et, plus encore, dans la gouvernementalité algorithmique. Ici, la scène n’est pas frontalement fermée, ni moralement saturée : elle est court-circuitée. Les conduites sont orientées en amont, les marges sont réduites par profilage, les possibilités de désaccord sont traitées comme variations à corriger avant de devenir événements. Nous appellerons cette figure la </w:t>
      </w:r>
      <w:r>
        <w:rPr>
          <w:i/>
          <w:iCs/>
        </w:rPr>
        <w:t>préemption</w:t>
      </w:r>
      <w:r>
        <w:rPr/>
        <w:t>. Elle constitue sans doute l’une des formes les plus redoutables de déséquilibre contemporain, parce qu’elle n’a pas besoin de se déclarer comme domination. Elle agit par configuration des possibles, par seuils, classements, paramétrages, corrélations. Elle ne dit pas non ; elle rend de moins en moins praticable ce à quoi elle n’aurait pas déjà ménagé une place. Dans un tel régime, l’arcalité se dissout dans la discrétion des architectures, la cratialité s’absorbe dans la réduction du bruit, et l’archicration devient presque impossible, faute d’un moment où l’écart puisse se rendre visible comme tel. La co-viabilité y survit peut-être sous la forme d’une compatibilité fonctionnelle minimale, mais elle cesse d’être une élaboration partageable du commun.</w:t>
      </w:r>
    </w:p>
    <w:p>
      <w:pPr>
        <w:pStyle w:val="BodyText"/>
        <w:rPr/>
      </w:pPr>
      <w:r>
        <w:rPr/>
        <w:t>Un quatrième seuil, inverse et tout aussi structurant, apparaît lorsque la scène existe, lorsque les tentatives prolifèrent, lorsque les prises se multiplient, mais sans mémoire, sans stabilisation sélective, sans possibilité de transmission ni de reprise. Nous avons touché cette difficulté en examinant les pensées de l’agencement, de l’expérimentation et des lignes de fuite. Leur force est immense : elles défont les clôtures, rouvrent des devenirs, inventent des formes inédites. Pourtant, lorsqu’aucune trace ne se consolide, lorsqu’aucune forme n’est suffisamment retenue pour devenir matière à apprentissage collectif, la scène se dissipe dans l’</w:t>
      </w:r>
      <w:r>
        <w:rPr>
          <w:i/>
          <w:iCs/>
        </w:rPr>
        <w:t>évanescence</w:t>
      </w:r>
      <w:r>
        <w:rPr/>
        <w:t>. Tout peut être tenté, mais rien ne dure assez pour devenir règle révisable, repère transmissible ou mémoire active. Le seuil critique n’est plus ici celui de la fermeture, mais celui de la dispersion. La créativité, si elle n’est accompagnée ni d’une forme de sélection, ni d’un archivage interprétable, ni d’une reprise instituante, cesse de nourrir la co-viabilité et se condamne à l’intensité sans lendemain. La régulation se réduit alors à une succession d’essais sans sédimentation, et l’archicration, au lieu d’ouvrir une scène habitable, se consume dans l’instant de son apparition.</w:t>
      </w:r>
    </w:p>
    <w:p>
      <w:pPr>
        <w:pStyle w:val="BodyText"/>
        <w:rPr/>
      </w:pPr>
      <w:r>
        <w:rPr/>
        <w:t xml:space="preserve">Ces quatre figures — </w:t>
      </w:r>
      <w:r>
        <w:rPr>
          <w:i/>
          <w:iCs/>
        </w:rPr>
        <w:t>empêchement, moralisation, préemption, évanescence</w:t>
      </w:r>
      <w:r>
        <w:rPr/>
        <w:t xml:space="preserve"> — ne doivent pas être comprises comme des catégories closes ni comme des types purs. Elles nomment des dynamiques de déséquilibre, des manières récurrentes pour une configuration de perdre sa capacité à tenir ensemble héritage, force et scène. Elles ont surtout pour intérêt de rendre possible un diagnostic plus fin. Car une configuration régulatrice n’est jamais seulement à décrire selon ce qu’elle affirme ; elle doit être évaluée selon la manière dont elle risque de basculer. La question n’est donc pas seulement de savoir quel principe domine une configuration donnée ; elle consiste à discerner l’excès qui la menace : le point où la scène se referme, où la mémoire se sacralise, où la technique court-circuite l’épreuve, ou encore où l’invention se dissipe faute d’avoir trouvé une forme transmissible.</w:t>
      </w:r>
    </w:p>
    <w:p>
      <w:pPr>
        <w:pStyle w:val="BodyText"/>
        <w:rPr/>
      </w:pPr>
      <w:r>
        <w:rPr/>
        <w:t>C’est ici que le travail archicratique commence au sens fort. Car il ne suffit pas d’identifier une dérive ; encore faut-il lui opposer une contre-prise adéquate. À l’</w:t>
      </w:r>
      <w:r>
        <w:rPr>
          <w:i/>
          <w:iCs/>
        </w:rPr>
        <w:t>empêchement</w:t>
      </w:r>
      <w:r>
        <w:rPr/>
        <w:t xml:space="preserve">, il faut des scènes de justification, de recours et de révision. À la </w:t>
      </w:r>
      <w:r>
        <w:rPr>
          <w:i/>
          <w:iCs/>
        </w:rPr>
        <w:t>moralisation</w:t>
      </w:r>
      <w:r>
        <w:rPr/>
        <w:t xml:space="preserve">, il faut des procédures capables de protéger le dissensus contre sa disqualification éthique. À la </w:t>
      </w:r>
      <w:r>
        <w:rPr>
          <w:i/>
          <w:iCs/>
        </w:rPr>
        <w:t>préemption</w:t>
      </w:r>
      <w:r>
        <w:rPr/>
        <w:t>, il faut des formes de publicité, d’audit, de contradiction et d’appel qui redonnent prise sur les architectures silencieuses. À l’</w:t>
      </w:r>
      <w:r>
        <w:rPr>
          <w:i/>
          <w:iCs/>
        </w:rPr>
        <w:t>évanescence</w:t>
      </w:r>
      <w:r>
        <w:rPr/>
        <w:t>, il faut des mémoires sélectives, des seuils de stabilisation, des formes de transmission qui permettent à l’expérimentation de laisser autre chose qu’une trace affective. Une configuration viable n’est donc pas celle qui élimine ces risques ; c’est celle qui se sait exposée à eux et se dote des médiations capables d’en limiter la montée en puissance.</w:t>
      </w:r>
    </w:p>
    <w:p>
      <w:pPr>
        <w:pStyle w:val="BodyText"/>
        <w:rPr/>
      </w:pPr>
      <w:r>
        <w:rPr/>
        <w:t xml:space="preserve">Ainsi compris, le seuil de bascule n’est pas seulement un instrument critique ; il devient un </w:t>
      </w:r>
      <w:r>
        <w:rPr>
          <w:i/>
          <w:iCs/>
        </w:rPr>
        <w:t>principe opératoire de composition</w:t>
      </w:r>
      <w:r>
        <w:rPr/>
        <w:t xml:space="preserve">. Il rappelle qu’aucune vertu régulatrice ne vaut par elle-même, qu’aucune scène n’est habitable si elle n’est pas soutenue par des formes, qu’aucune force n’est légitime si elle échappe à la reprise, qu’aucun héritage n’est vivant s’il interdit d’être repris autrement. Toute la tâche de l’archicratie tient alors dans cette </w:t>
      </w:r>
      <w:r>
        <w:rPr>
          <w:i/>
          <w:iCs/>
        </w:rPr>
        <w:t>discipline de vigilance</w:t>
      </w:r>
      <w:r>
        <w:rPr/>
        <w:t xml:space="preserve"> : repérer l’excès avant qu’il ne se naturalise, reconnaître la dérive avant qu’elle ne devienne évidence, et maintenir ouverte la possibilité d’une contre-composition. Car la co-viabilité ne dépend jamais de la pureté d’un principe, mais de la qualité des tensions qu’un régime accepte de rendre visibles, disputables et transformables. C’est à cette condition seulement qu’une configuration cesse d’être une mécanique de domination ou une pure prolifération, pour devenir une forme habitable de monde commun.</w:t>
      </w:r>
    </w:p>
    <w:p>
      <w:pPr>
        <w:pStyle w:val="BodyText"/>
        <w:rPr/>
      </w:pPr>
      <w:r>
        <w:rPr/>
        <w:t>Une présentation condensée des compositions possibles, des risques de dérive et des indicateurs de vigilance correspondants figure en annexe C.</w:t>
      </w:r>
    </w:p>
    <w:p>
      <w:pPr>
        <w:pStyle w:val="Heading3"/>
        <w:numPr>
          <w:ilvl w:val="2"/>
          <w:numId w:val="2"/>
        </w:numPr>
        <w:rPr/>
      </w:pPr>
      <w:r>
        <w:rPr>
          <w:b/>
          <w:bCs/>
        </w:rPr>
        <w:t>3.7.4 — Lectures transversales par familles philosophiques : cohérences internes, angles morts et principes de composition</w:t>
      </w:r>
    </w:p>
    <w:p>
      <w:pPr>
        <w:pStyle w:val="BodyText"/>
        <w:rPr/>
      </w:pPr>
      <w:r>
        <w:rPr/>
        <w:t>À ce stade du chapitre, la comparaison ne peut plus rester additive. Tant que les auteurs sont lus l’un après l’autre, leurs différences apparaissent ; ce qui se dérobe encore, en revanche, c’est la logique de leurs rapprochements partiels, de leurs affinités de structure et de leurs vulnérabilités homologues. Il faut donc changer de plan : non plus seulement suivre des œuvres singulières, mais faire apparaître les familles de pensée dans lesquelles certaines fonctions régulatrices se renforcent, se compensent ou se contrarient mutuellement.</w:t>
      </w:r>
    </w:p>
    <w:p>
      <w:pPr>
        <w:pStyle w:val="BodyText"/>
        <w:rPr/>
      </w:pPr>
      <w:r>
        <w:rPr/>
        <w:t>Il ne s’agit pas d’assigner définitivement chaque auteur à une case, ni de produire une taxinomie close des doctrines politiques, mais de dégager des proximités morphologiques, des cohérences de geste, des vulnérabilités récurrentes et, surtout, des possibilités de composition. Car ce que le chapitre a progressivement rendu visible, ce n’est pas seulement la pluralité des régimes régulateurs ; c’est le fait que cette pluralité s’organise en constellations relativement cohérentes, où certaines fonctions sont privilégiées, certaines scènes favorisées, certaines médiations sacrifiées.</w:t>
      </w:r>
    </w:p>
    <w:p>
      <w:pPr>
        <w:pStyle w:val="BodyText"/>
        <w:rPr/>
      </w:pPr>
      <w:r>
        <w:rPr/>
        <w:t xml:space="preserve">Une première famille regroupe les pensées pour lesquelles la question centrale est celle de </w:t>
      </w:r>
      <w:r>
        <w:rPr>
          <w:i/>
          <w:iCs/>
        </w:rPr>
        <w:t>l’exécution de l’ordre</w:t>
      </w:r>
      <w:r>
        <w:rPr/>
        <w:t>. Chez Hobbes, chez Schmitt, et sous une forme très différente chez Weber, ce qui importe avant tout est qu’un monde ne soit pas livré à l’indétermination. La régulation y vaut d’abord par sa capacité à faire tenir, à trancher, à décider, à garantir une continuité opératoire face à la dispersion des volontés, à la conflictualité des intérêts ou à la menace de désagrégation. Bien sûr, les écarts entre ces auteurs sont considérables. Hobbes pense la sortie de la guerre civile par la concentration de la puissance ; Schmitt fait de la décision d’exception le cœur irréductible du politique ; Weber, quant à lui, analyse la stabilisation rationnelle de l’ordre à travers la forme bureaucratique et la légalité procédurale. Pourtant, malgré ces différences, une même cohérence se laisse reconnaître : l’exigence première est celle d’une puissance capable d’interrompre l’indécision et de donner à l’ordre une effectivité.</w:t>
      </w:r>
    </w:p>
    <w:p>
      <w:pPr>
        <w:pStyle w:val="BodyText"/>
        <w:rPr/>
      </w:pPr>
      <w:r>
        <w:rPr/>
        <w:t>Le mérite majeur de cette famille est de rappeler qu’aucun monde commun ne se maintient par la seule normativité déclarée. Il faut des formes d’exécution, des relais d’effectuation, des instances capables d’arrêter l’indétermination. Son angle mort apparaît dès que cette fonction se totalise : ce qui rend l’ordre opératoire tend alors à rendre sa reprise plus difficile, comme si toute exposition à l’épreuve menaçait immédiatement la tenue du tout. Toute la difficulté consiste alors à préserver la force d’exécution sans sacrifier la possibilité d’une scène effectivement praticable.</w:t>
      </w:r>
    </w:p>
    <w:p>
      <w:pPr>
        <w:pStyle w:val="BodyText"/>
        <w:rPr/>
      </w:pPr>
      <w:r>
        <w:rPr/>
        <w:t>Une seconde famille réunit les pensées qui font de la publicité, de la parole et du dissensus la condition même de la régulation. Rousseau en constitue une figure paradoxale, puisqu’il ne pense pas la publicité comme pluralité ouverte mais comme expression d’un corps civique supposé capable de se vouloir lui-même. Avec Habermas, cette dimension devient plus explicitement dialogique : la régulation n’est légitime qu’à condition que les normes puissent être soumises à l’épreuve d’une discussion publique.</w:t>
      </w:r>
    </w:p>
    <w:p>
      <w:pPr>
        <w:pStyle w:val="BodyText"/>
        <w:rPr/>
      </w:pPr>
      <w:r>
        <w:rPr/>
        <w:t>La puissance propre de la perspective habermassienne est d’avoir maintenu l’exigence d’une légitimation discursive et d’une mise à l’épreuve argumentative des normes. Sa limite, pour notre enquête, tient toutefois à ce qu’elle présuppose encore relativement la disponibilité d’espaces de discussion identifiables, là où une part décisive des régulations contemporaines se déploie en amont de la délibération, dans des chaînes techniques, calculatoires et procédurales dont l’opérativité excède précisément les formats discursifs qui permettraient d’en répondre.</w:t>
      </w:r>
    </w:p>
    <w:p>
      <w:pPr>
        <w:pStyle w:val="BodyText"/>
        <w:rPr/>
      </w:pPr>
      <w:r>
        <w:rPr/>
        <w:t>Avec Lefort, la vacance du lieu du pouvoir interdit toute appropriation définitive de la scène politique ; avec Rancière, enfin, le dissensus devient le moment où l’ordre du visible est interrompu par ceux qui n’y avaient pas part. Malgré leurs divergences profondes, ces pensées partagent une même intuition : un ordre n’est politiquement recevable qu’à condition de ne pas se soustraire à l’épreuve de sa propre exposition.</w:t>
      </w:r>
    </w:p>
    <w:p>
      <w:pPr>
        <w:pStyle w:val="BodyText"/>
        <w:rPr/>
      </w:pPr>
      <w:r>
        <w:rPr/>
        <w:t>Cette famille préserve une dimension sans laquelle le politique perd sa consistance propre : l’ordre n’est recevable qu’à la condition de ne pas se soustraire entièrement à l’épreuve de sa propre apparition. Mais cette primauté de la scène rencontre une limite constante : rien ne garantit, par elle seule, que l’ouverture se traduise en transformation effective. Une parole peut devenir visible sans acquérir de prise ; un dissensus peut être reconnu sans trouver de relais institutionnels ; une exigence de justification peut demeurer nominale lorsque les asymétries de compétence, de temps ou de position continuent d’organiser souterrainement la scène. Ici encore, la question n’est donc pas de disqualifier cette famille, mais de reconnaître qu’une scène, si ouverte soit-elle, ne se suffit jamais à elle-même.</w:t>
      </w:r>
    </w:p>
    <w:p>
      <w:pPr>
        <w:pStyle w:val="BodyText"/>
        <w:rPr/>
      </w:pPr>
      <w:r>
        <w:rPr/>
        <w:t>Une troisième famille se déploie autour des pensées du dispositif, de la norme diffuse et de la gouvernementalité. Avec Foucault d’abord, puis plus radicalement avec Rouvroy et Berns, la régulation cesse d’apparaître comme le fait d’un centre visible ou d’une délibération instituée ; elle se distribue dans des techniques, des procédures, des classifications, des métriques et des environnements. La force de ces analyses est de rendre intelligible ce que les philosophies classiques du pouvoir avaient souvent laissé dans l’ombre : la manière dont un ordre peut opérer sans se déclarer comme tel, orienter les conduites sans commandement explicite, transformer les possibles sans passer par l’interdit frontal.</w:t>
      </w:r>
    </w:p>
    <w:p>
      <w:pPr>
        <w:pStyle w:val="BodyText"/>
        <w:rPr/>
      </w:pPr>
      <w:r>
        <w:rPr/>
        <w:t>Cette famille éclaire ainsi avec une puissance singulière les modalités diffuses d’effectuation du pouvoir. Mais c’est aussi là que se marque sa limite relative pour notre propos : elle décrit admirablement la dispersion des prises, tout en laissant plus incertaine la question des conditions sous lesquelles cette effectuation peut être reconduite à une scène explicite de comparution, de reprise et de révision. Autrement dit, elle thématise moins frontalement les formes instituées de la réexposition contradictoire. Le risque n’est donc pas tant ici l’autoritarisme visible que l’indisputabilité progressive de ce qui règle. Cette famille impose ainsi à la pensée archicratique une épreuve majeure : ne jamais identifier la scène au seul visible, et apprendre à nommer ce qui manque lorsqu’une régulation sature le réel sans comparaître.</w:t>
      </w:r>
    </w:p>
    <w:p>
      <w:pPr>
        <w:pStyle w:val="BodyText"/>
        <w:rPr/>
      </w:pPr>
      <w:r>
        <w:rPr/>
        <w:t>Une quatrième famille peut être dégagée autour des pensées de l’incorporation, de l’individuation et des médiations relationnelles. Mauss, Bourdieu, Spinoza, Elias, Simondon, Rosa et Latour n’appartiennent ni à une même doctrine ni à une même époque. Leur rapprochement ne vaut ni comme filiation doctrinale ni comme école implicite. Il n’est recevable qu’à un niveau strictement morphologique : tous, selon des voies très différentes, déplacent l’intelligence de la régulation vers des médiations qui ne se réduisent pas aux institutions explicites — habitus, affects, échanges incorporés, chaînes d’interdépendance, processus d’individuation, régimes de résonance ou réseaux d’attachements.</w:t>
      </w:r>
    </w:p>
    <w:p>
      <w:pPr>
        <w:pStyle w:val="BodyText"/>
        <w:rPr/>
      </w:pPr>
      <w:r>
        <w:rPr/>
        <w:t>Ce déplacement est précieux, car il empêche de réduire la co-viabilité à la seule scène juridico-politique. Il montre qu’un monde tient aussi par des incorporations, des médiations tacites, des ajustements fins, des formes de coordination qui ne passent ni par le décret ni par la délibération publique. Mais cette richesse a son envers : à trop insister sur la texture relationnelle du monde social, on risque de rendre plus difficile la détection du point où une scène devrait s’ouvrir comme telle. La régulation devient partout perceptible, mais sa mise à l’épreuve peut devenir plus difficile à situer. Cette famille enrichit donc puissamment l’analyse archicratique, à condition de ne pas laisser se dissoudre, dans la continuité des médiations, la question de leur exposition.</w:t>
      </w:r>
    </w:p>
    <w:p>
      <w:pPr>
        <w:pStyle w:val="BodyText"/>
        <w:rPr/>
      </w:pPr>
      <w:r>
        <w:rPr/>
        <w:t>Enfin, une cinquième famille se forme autour des pensées de l’expérimentation, de la création et du soin. Deleuze et Guattari, d’un côté, ouvrent une pensée de l’agencement, de la bifurcation et des devenirs qui permet de saisir les puissances de sortie hors des formes closes. Stiegler, de l’autre, montre que la régulation contemporaine se joue aussi dans les dispositifs techniques de temporalisation, d’attention et de transmission, et que toute possibilité de reprise suppose un travail de soin contre l’automatisation destructrice.</w:t>
      </w:r>
    </w:p>
    <w:p>
      <w:pPr>
        <w:pStyle w:val="BodyText"/>
        <w:rPr/>
      </w:pPr>
      <w:r>
        <w:rPr/>
        <w:t>Cette famille rappelle que la régulation ne consiste pas seulement à tenir un ordre, mais aussi à empêcher qu’il ne se ferme sur ses propres automatismes. Elle réintroduit dans l’analyse ce que les familles précédentes laissaient plus souvent à l’arrière-plan : la nécessité de l’invention, de la bifurcation et du soin comme conditions de reprise d’un monde menacé par sa propre inertie.</w:t>
      </w:r>
    </w:p>
    <w:p>
      <w:pPr>
        <w:pStyle w:val="BodyText"/>
        <w:rPr/>
      </w:pPr>
      <w:r>
        <w:rPr/>
        <w:t>Mais elle rencontre elle aussi une limite structurelle. Chez Deleuze et Guattari, la création risque de se dissiper faute de sédimentation transmissible ; chez Stiegler, le soin peut demeurer suspendu à des conditions d’institutionnalisation incertaines. L’enjeu est de savoir comment donner tenue à ces possibles sans les figer.</w:t>
      </w:r>
    </w:p>
    <w:p>
      <w:pPr>
        <w:pStyle w:val="BodyText"/>
        <w:rPr/>
      </w:pPr>
      <w:r>
        <w:rPr/>
        <w:t>Ainsi comprise, la synthèse typologique ne referme pas le chapitre sur une taxinomie des doctrines ; elle en dégage plutôt une discipline de lecture et de composition. Elle montre que les régimes du pouvoir ne deviennent comparables qu’à la condition d’être rapportés, non à une essence commune, mais aux tensions qu’ils ouvrent, déplacent, saturent ou rendent praticables. L’archicratie n’y apparaît donc ni comme doctrine concurrente, ni comme surplomb interprétatif, mais comme exigence de discernement : une manière de lire ce qu’un régime rend possible, ce qu’il empêche, et ce qu’il oblige à recomposer pour qu’un monde commun demeure habitable.</w:t>
      </w:r>
    </w:p>
    <w:p>
      <w:pPr>
        <w:pStyle w:val="BodyText"/>
        <w:rPr/>
      </w:pPr>
      <w:r>
        <w:rPr/>
        <w:t>Ce parcours par familles fait apparaître une leçon d’ensemble. Aucune d’entre elles n’est suffisante à elle seule ; aucune n’est pour autant négligeable. Chacune préserve une exigence irréductible : la nécessité de l’exécution, l’exigence de publicité, la lucidité sur les dispositifs, l’épaisseur des médiations incorporées, la puissance de l’invention et du soin. Mais chacune tend aussi, lorsqu’elle se referme sur son propre gain, à sacrifier une autre dimension de la régulation. C’est pourquoi la question décisive n’est jamais de choisir une famille contre les autres, mais de penser leurs possibilités de composition. Non pas articulation harmonieuse, ni synthèse réconciliatrice, mais composition tendue : comment maintenir ensemble ce qui exécute, ce qui fonde et ce qui expose à l’épreuve, sans permettre à l’un de ces pôles d’absorber les autres ?</w:t>
      </w:r>
    </w:p>
    <w:p>
      <w:pPr>
        <w:pStyle w:val="BodyText"/>
        <w:rPr/>
      </w:pPr>
      <w:r>
        <w:rPr/>
        <w:t>C’est ici que la démarche archicratique trouve sa fonction propre. Elle ne prétend pas surplomber ces familles ni les annexer à une doctrine plus vaste. Elle opère plus modestement, mais aussi plus rigoureusement : elle fournit un principe de lecture permettant de discerner ce que chaque famille rend pensable, ce qu’elle laisse dans l’ombre, et à quel point elle demeure capable — ou non — de soutenir une co-viabilité effectivement habitable. En ce sens, l’archicratie n’apparaît pas d’abord comme une théorie rivale des grandes pensées du pouvoir ; elle relève plutôt d’une discipline de composition critique. Elle oblige à distinguer la force de la fermeture, la mémoire de la sacralisation, la scène de sa simple apparence, l’invention de sa pure dissipation.</w:t>
      </w:r>
    </w:p>
    <w:p>
      <w:pPr>
        <w:pStyle w:val="BodyText"/>
        <w:rPr/>
      </w:pPr>
      <w:r>
        <w:rPr/>
        <w:t>Une telle lecture n’a donc de sens qu’à une condition : ne jamais demander à une famille de pensée de résoudre seule ce qu’elle n’a rendu visible qu’au prix d’une perte. C’est seulement sous cette discipline — tenir ensemble ce qu’une famille sauve, ce qu’elle sacrifie et ce qu’elle oblige à recomposer — qu’une topologie des régimes régulateurs peut éclairer, sans les trahir, les conditions d’un monde commun habitable.</w:t>
      </w:r>
    </w:p>
    <w:p>
      <w:pPr>
        <w:pStyle w:val="BodyText"/>
        <w:rPr/>
      </w:pPr>
      <w:r>
        <w:rPr/>
        <w:t>Cette section n’avait pas pour fin de distribuer les auteurs dans un classement doctrinal, ni d’ordonner les pensées de la régulation selon une hiérarchie implicite. Elle avait un objectif plus exigeant : rendre comparables des configurations hétérogènes sans effacer ce qui les sépare, et faire apparaître, à même leurs écarts, quelques lignes de discernement capables d’éclairer les conditions d’une co-viabilité soutenable. En ce sens, la synthèse proposée n’est ni un tableau de maîtrise, ni une réduction de la pluralité ; elle est un exercice de mise en tension.</w:t>
      </w:r>
    </w:p>
    <w:p>
      <w:pPr>
        <w:pStyle w:val="BodyText"/>
        <w:rPr/>
      </w:pPr>
      <w:r>
        <w:rPr/>
        <w:t>Ce qui en ressort avec netteté, c’est qu’aucune pensée du pouvoir ne peut être comprise isolément à partir de son seul principe déclaratif. Toute configuration régulatrice vaut par ce qu’elle permet de tenir, mais aussi par ce qu’elle tend à sacrifier. Les régimes de l’exécution sauvent l’effectivité, mais risquent la fermeture ; les régimes de la publicité sauvent l’exposition, mais peuvent manquer de prise ; les régimes du dispositif rendent visibles les médiations silencieuses, mais menacent d’effacer la scène ; les régimes de l’expérimentation et du soin rouvrent les possibles, mais s’exposent à la dissipation ou à la fragilité de l’institution. Il n’existe donc pas de forme pure de la co-viabilité : il n’existe que des compositions plus ou moins capables de maintenir ensemble ce qui exécute, ce qui hérite et ce qui s’expose à l’épreuve.</w:t>
      </w:r>
    </w:p>
    <w:p>
      <w:pPr>
        <w:pStyle w:val="BodyText"/>
        <w:rPr/>
      </w:pPr>
      <w:r>
        <w:rPr/>
        <w:t>C’est pourquoi la leçon principale de 3.7 n’est pas typologique au sens strict, mais compositionnelle. Une configuration ne devient habitable qu’à la condition d’être contrebalancée, reprise, corrigée, relancée par ce qu’elle ne contient pas d’elle-même. La régulation ne vaut jamais par autosuffisance ; elle vaut par les contre-prises qui empêchent un gain de se transformer en blocage, une mémoire en sacralisation, une scène en simple apparence ou une invention en dispersion sans suite. L’archicratie ne désigne rien d’autre, à ce niveau, que cette discipline de composition sous tension.</w:t>
      </w:r>
    </w:p>
    <w:p>
      <w:pPr>
        <w:pStyle w:val="BodyText"/>
        <w:rPr/>
      </w:pPr>
      <w:r>
        <w:rPr/>
        <w:t>Dans cette perspective, les tableaux morphogénétiques et comparatifs proposés en annexe ne devront pas être lus comme des instruments de classement, mais comme des auxiliaires de lecture. Ils condensent, sous forme synoptique, les lignes d’analyse développées ici, ainsi que les principaux gains, angles morts, contre-prises et seuils de vigilance dégagés au fil de la section. Leur fonction n’est pas de remplacer la prose théorique, mais d’en fournir une version resserrée, mobilisable dans les usages comparatifs et dans les prolongements méthodologiques du chapitre.</w:t>
      </w:r>
    </w:p>
    <w:p>
      <w:pPr>
        <w:pStyle w:val="BodyText"/>
        <w:rPr/>
      </w:pPr>
      <w:r>
        <w:rPr/>
        <w:t>Ce déplacement nous laisse alors à un point méthodologiquement plus solide qu’au seuil de la section. Nous ne disposons pas d’un modèle achevé de la bonne régulation ; nous disposons mieux : d’un ensemble de discernements sur ce qui fait tenir, vaciller, se fermer ou se disperser un monde commun. Une telle acquisition est plus modeste qu’une théorie totale, mais elle est aussi plus rigoureuse. Car la co-viabilité n’est jamais donnée ; elle reste à configurer, à éprouver et à reprendre, dans des montages toujours situés, toujours exposés, toujours révisables.</w:t>
      </w:r>
    </w:p>
    <w:p>
      <w:pPr>
        <w:pStyle w:val="Heading2"/>
        <w:numPr>
          <w:ilvl w:val="1"/>
          <w:numId w:val="2"/>
        </w:numPr>
        <w:rPr/>
      </w:pPr>
      <w:r>
        <w:rPr>
          <w:b/>
          <w:bCs/>
        </w:rPr>
        <w:t>3.8 — Émergence du paradigme archicratique : vers une tenségrité régulatoire falsifiable</w:t>
      </w:r>
    </w:p>
    <w:p>
      <w:pPr>
        <w:pStyle w:val="BodyText"/>
        <w:rPr/>
      </w:pPr>
      <w:r>
        <w:rPr/>
        <w:t>Aucun des penseurs traversés dans ce chapitre — de Hobbes à Foucault, de Rousseau à Rancière, de Weber à Ostrom, de Habermas à Stiegler — n’emploie le terme « archicratie ». Aucun ne pose, en ces termes, une triade régulatoire composée d’arcalité, de cratialité et d’archicration. Et pourtant, tous affrontent, d’une manière ou d’une autre, la question cruciale de la viabilité d’un ordre social : comment hériter sans figer, comment agir sans dominer, comment contester sans dissoudre.</w:t>
      </w:r>
    </w:p>
    <w:p>
      <w:pPr>
        <w:pStyle w:val="BodyText"/>
        <w:rPr/>
      </w:pPr>
      <w:r>
        <w:rPr/>
        <w:t>Ce que ce chapitre a fait émerger, ce n’est ni une doctrine, ni une utopie, mais une grammaire régulatrice implicite. Une grammaire que les philosophies politiques stabilisent rarement de manière simultanée : les régimes de pensée ou de gouvernement privilégient l’un des pôles — l’effectuation souveraine chez Hobbes, la mémoire fondatrice chez Rousseau, la scène discursive chez Habermas — mais aucun ne parvient à les composer sans sacrifice, sans effets de bord, sans impensé résiduel.</w:t>
      </w:r>
    </w:p>
    <w:p>
      <w:pPr>
        <w:pStyle w:val="BodyText"/>
        <w:rPr/>
      </w:pPr>
      <w:r>
        <w:rPr/>
        <w:t>Or l’archicratie nomme précisément cette exigence de composition. Elle ne désigne ni l’addition de trois fonctions distinctes, ni leur coexistence pacifique, mais la tension réglée entre trois dimensions qu’aucun ordre durable ne peut éliminer sans se mutiler : une dimension de structuration et de transmission, que nous appelons arcalité ; une dimension d’effectuation et de prise sur le réel, que nous appelons cratialité ; une dimension d’exposition, de mise à l’épreuve et de reprise conflictuelle, que nous appelons archicration. Il ne s’agit pas là de concepts décoratifs, mais d’opérateurs analytiques destinés à rendre lisible ce qui, dans une configuration politique, permet d’hériter sans figer, d’agir sans écraser et de contester sans dissoudre.</w:t>
      </w:r>
    </w:p>
    <w:p>
      <w:pPr>
        <w:pStyle w:val="BodyText"/>
        <w:rPr/>
      </w:pPr>
      <w:r>
        <w:rPr/>
        <w:t>Ce paradigme n’a d’intérêt qu’à condition de pouvoir être mis à l’épreuve. Il n’invite pas seulement à décrire des régimes, mais à examiner leur robustesse concrète : coût d’accès à la scène de contestation, possibilité effective d’amendement des règles, capacité de révision des héritages institués, visibilité des procédures d’exception, existence de recours, épaisseur publique des seuils de bascule. En ce sens, le chapitre suivant n’aura pas pour fonction d’illustrer l’archicratie comme on illustrerait une thèse déjà acquise, mais de la confronter à des cas, à des bifurcations techniques et politiques, à des dispositifs de gouvernement réels. Le paradigme ne vaudra qu’à cette condition : supporter l’épreuve du terrain sans se refermer en schème auto-protecteur.</w:t>
      </w:r>
    </w:p>
    <w:p>
      <w:pPr>
        <w:pStyle w:val="Heading3"/>
        <w:numPr>
          <w:ilvl w:val="2"/>
          <w:numId w:val="2"/>
        </w:numPr>
        <w:rPr/>
      </w:pPr>
      <w:r>
        <w:rPr/>
        <w:t>3.8.1 — Validité structurelle de la triade archicratique</w:t>
      </w:r>
    </w:p>
    <w:p>
      <w:pPr>
        <w:pStyle w:val="BodyText"/>
        <w:rPr/>
      </w:pPr>
      <w:r>
        <w:rPr/>
        <w:t>Il ne suffit pas d’énoncer un paradigme pour qu’il acquière une légitimité théorique. Encore faut-il montrer qu’il répond à une difficulté réelle de lisibilité, qu’il ordonne des phénomènes que les cadres disponibles laissent partiellement dispersés, et qu’il le fait sans sacrifier ni la rigueur conceptuelle ni la pluralité des terrains. La triade archicratique — arcalité, cratialité, archicration — ne peut donc valoir ni par l’éclat d’une intuition, ni par la seule cohérence de sa formulation. Elle doit être soumise à une double exigence : rendre plus intelligibles certaines configurations de régulation, et demeurer elle-même exposable au doute critique.</w:t>
      </w:r>
    </w:p>
    <w:p>
      <w:pPr>
        <w:pStyle w:val="BodyText"/>
        <w:rPr/>
      </w:pPr>
      <w:r>
        <w:rPr/>
        <w:t>La première justification d’une telle triade tient à un manque repérable dans une grande partie de la littérature politique et sociale : les cadres disponibles décrivent souvent avec finesse soit la fondation et la légitimation de l’ordre, soit les modalités concrètes de son exercice, soit encore les formes de sa contestation, mais plus rarement l’articulation réglée de ces trois dimensions. Les grandes doctrines modernes et contemporaines tendent en effet à sur-investir un registre privilégié — la souveraineté, la norme, la procédure, le conflit, le dispositif, le commun — sans toujours disposer d’un langage capable d’expliciter, dans un même geste, ce qui se transmet, ce qui agit et ce qui se laisse reprendre. C’est ce défaut d’articulation, plus qu’un vide absolu, que la triade archicratique cherche à traiter.</w:t>
      </w:r>
    </w:p>
    <w:p>
      <w:pPr>
        <w:pStyle w:val="BodyText"/>
        <w:rPr/>
      </w:pPr>
      <w:r>
        <w:rPr/>
        <w:t>Une réserve méthodologique doit toutefois être maintenue avec fermeté. Dire qu’une triade permet de relire un ensemble de philosophies ne signifie pas que toute philosophie du pouvoir soit intrinsèquement triadique, ni qu’elle doive nécessairement l’être pour devenir intelligible. Certaines œuvres construisent délibérément leur cohérence sur une réduction : à la souveraineté, à la norme, au conflit, à la forme de vie, au dispositif ou au commun. L’intérêt de la lecture archicratique n’est alors pas de corriger de force cette réduction en lui imposant une complétude étrangère, mais de montrer ce qu’elle rend visible, ce qu’elle rend aveugle, et à partir de quel point cette réduction cesse d’être heuristique pour devenir mutilante. Le paradigme n’a donc pas pour tâche de redistribuer toutes les pensées dans une symétrie artificielle ; il doit au contraire assumer les cas où la dissymétrie est le fait même à décrire.</w:t>
      </w:r>
    </w:p>
    <w:p>
      <w:pPr>
        <w:pStyle w:val="BodyText"/>
        <w:rPr/>
      </w:pPr>
      <w:r>
        <w:rPr/>
        <w:t xml:space="preserve">Les grandes doctrines modernes, qu’elles soient contractualistes, décisionnistes, procédurales, fonctionnalistes ou éthiques, tendent chacune à sur-investir un registre : soit la </w:t>
      </w:r>
      <w:r>
        <w:rPr>
          <w:i/>
          <w:iCs/>
        </w:rPr>
        <w:t>force d’exécution</w:t>
      </w:r>
      <w:r>
        <w:rPr/>
        <w:t xml:space="preserve"> (de Hobbes à Schmitt), soit la </w:t>
      </w:r>
      <w:r>
        <w:rPr>
          <w:i/>
          <w:iCs/>
        </w:rPr>
        <w:t>normativité justificative</w:t>
      </w:r>
      <w:r>
        <w:rPr/>
        <w:t xml:space="preserve"> (de Rawls à Habermas), soit l’</w:t>
      </w:r>
      <w:r>
        <w:rPr>
          <w:i/>
          <w:iCs/>
        </w:rPr>
        <w:t>autorité instituée</w:t>
      </w:r>
      <w:r>
        <w:rPr/>
        <w:t xml:space="preserve"> (de Durkheim à Weber), soit la </w:t>
      </w:r>
      <w:r>
        <w:rPr>
          <w:i/>
          <w:iCs/>
        </w:rPr>
        <w:t>conflictualité ouverte</w:t>
      </w:r>
      <w:r>
        <w:rPr/>
        <w:t xml:space="preserve"> (de Rancière à Lefort), soit encore la </w:t>
      </w:r>
      <w:r>
        <w:rPr>
          <w:i/>
          <w:iCs/>
        </w:rPr>
        <w:t>plasticité communautaire</w:t>
      </w:r>
      <w:r>
        <w:rPr/>
        <w:t xml:space="preserve"> (de Ostrom à Dewey). Mais toutes échouent à penser, dans un même geste, les </w:t>
      </w:r>
      <w:r>
        <w:rPr>
          <w:i/>
          <w:iCs/>
        </w:rPr>
        <w:t>conditions de la reproduction du cadre</w:t>
      </w:r>
      <w:r>
        <w:rPr/>
        <w:t xml:space="preserve">, de la </w:t>
      </w:r>
      <w:r>
        <w:rPr>
          <w:i/>
          <w:iCs/>
        </w:rPr>
        <w:t>puissance d’agir</w:t>
      </w:r>
      <w:r>
        <w:rPr/>
        <w:t xml:space="preserve"> et de la </w:t>
      </w:r>
      <w:r>
        <w:rPr>
          <w:i/>
          <w:iCs/>
        </w:rPr>
        <w:t>visibilité de la scène de contestation</w:t>
      </w:r>
      <w:r>
        <w:rPr/>
        <w:t>. C’est précisément ce défaut d’articulation entre des fonctions vitales de l’ordre social — mémoire instituée, effectuation pragmatique, régulation publique du dissensus — qui appelle une grille triadique.</w:t>
      </w:r>
    </w:p>
    <w:p>
      <w:pPr>
        <w:pStyle w:val="BodyText"/>
        <w:rPr/>
      </w:pPr>
      <w:r>
        <w:rPr/>
        <w:t>Cette proposition ne peut toutefois être recevable qu’à la condition d’une suffisance minimale. Elle ne prétend pas épuiser l’ensemble du réel social, ni fournir une taxinomie complète des institutions. Elle avance plus modestement qu’un grand nombre de configurations deviennent plus lisibles si l’on prête attention à trois prises conjointes : ce qui inscrit et transmet, ce qui effectue et transforme, ce qui expose et remet à l’épreuve. L’hypothèse n’est donc pas encyclopédique ; elle est structurale au sens restreint du terme : elle parie sur le fait que, dans les régimes régulateurs, ces trois dimensions reviennent assez régulièrement pour constituer un principe de discernement opératoire.</w:t>
      </w:r>
    </w:p>
    <w:p>
      <w:pPr>
        <w:pStyle w:val="BodyText"/>
        <w:rPr/>
      </w:pPr>
      <w:r>
        <w:rPr/>
        <w:t>Encore faut-il que ces trois termes ne soient ni synonymes, ni simples variantes verbales d’une même fonction. Leur consistance tient précisément à leur différenciation. L’arcalité renvoie à une logique de tenue, de transmission, de mémoire instituée ; la cratialité, à une logique d’effectuation, de prise, d’incidence sur le réel ; l’archicration, à une logique d’exposition, de recevabilité du différend et de mise à l’épreuve. Ces dimensions peuvent se croiser, se recouvrir partiellement, se déformer l’une l’autre ; elles ne se confondent pourtant pas. C’est même de leur non-réductibilité que dépend la portée de la triade : si l’une absorbe les autres, le paradigme cesse d’éclairer les déséquilibres et reconduit ce qu’il prétend analyser.</w:t>
      </w:r>
    </w:p>
    <w:p>
      <w:pPr>
        <w:pStyle w:val="BodyText"/>
        <w:rPr/>
      </w:pPr>
      <w:r>
        <w:rPr/>
        <w:t>Une telle différenciation ne vaudrait rien si elle ne trouvait aucun ancrage dans les configurations observables. Or l’expérience politique et institutionnelle montre assez aisément que les crises et les stabilisations mettent presque toujours en jeu, selon des proportions variables, des cadres hérités ou institués, des capacités d’action et de transformation, et des scènes — ouvertes ou empêchées — où peuvent se formuler objections, recours ou litiges. Dans un soulèvement contre une réforme, dans une université, dans une administration, dans une plateforme numérique, on peut repérer des mémoires normatives, des chaînes d’effectuation, et des modes d’exposition plus ou moins praticables de la contestation. La triade n’épouse donc pas le réel terme à terme ; elle permet plutôt d’en faire apparaître certaines tensions récurrentes.</w:t>
      </w:r>
    </w:p>
    <w:p>
      <w:pPr>
        <w:pStyle w:val="BodyText"/>
        <w:rPr/>
      </w:pPr>
      <w:r>
        <w:rPr/>
        <w:t>L’intérêt d’un tel cadre tient alors à sa fécondité heuristique. Il autorise des hypothèses comparatives : qu’advient-il lorsqu’une capacité d’action se renforce sans procédure réelle de reprise ? que se passe-t-il lorsqu’une mémoire instituée devient indisputable ? qu’arrive-t-il à une scène de contestation privée d’ancrage ou d’effectuation ? Il permet également de construire des indicateurs : fréquence des révisions normatives, existence de recours effectifs, seuils d’accès à la scène, publicité des exceptions, part des calibrations non auditées, capacité d’amendement des règles. En ce sens, la triade n’a pas seulement une portée descriptive ; elle sert aussi d’instrument de diagnostic et de comparaison.</w:t>
      </w:r>
    </w:p>
    <w:p>
      <w:pPr>
        <w:pStyle w:val="BodyText"/>
        <w:rPr/>
      </w:pPr>
      <w:r>
        <w:rPr/>
        <w:t>Enfin, cette proposition ne gagne rien à se présenter comme apparition sans ascendance. Elle ne vaut qu’en se situant avec précision dans une histoire intellectuelle dont elle ne constitue ni le dépassement autorisé ni la synthèse définitive. L’arcalité peut être éclairée par des pensées de l’institution, de la mémoire, de la transmission ou de la signification sociale ; la cratialité, par des pensées de l’action, du pouvoir, des dispositifs et de l’effectuation ; l’archicration, par des pensées de la scène publique, du dissensus, de la recevabilité du litige et de la performativité critique. L’intérêt de la triade n’est donc pas d’annexer ces traditions, mais de proposer un lieu de mise en rapport où leur dissociation même devient intelligible.</w:t>
      </w:r>
    </w:p>
    <w:p>
      <w:pPr>
        <w:pStyle w:val="BodyText"/>
        <w:rPr/>
      </w:pPr>
      <w:r>
        <w:rPr/>
        <w:t>À ce stade, il est plus juste de dire ceci : la triade archicratique paraît théoriquement nécessaire dans la mesure où elle répond à un défaut d’articulation récurrent ; elle paraît suffisamment resserrée pour opérer sans prolifération indéfinie ; elle paraît conceptuellement consistante si l’on maintient la non-réductibilité de ses termes ; elle paraît empiriquement lisible dans des régimes concrets ; elle paraît heuristiquement féconde dès lors qu’elle permet de construire des hypothèses et des indicateurs ; elle paraît enfin philosophiquement recevable à condition de demeurer exposée à ce que les traditions qu’elle mobilise lui opposent de résistance.</w:t>
      </w:r>
    </w:p>
    <w:p>
      <w:pPr>
        <w:pStyle w:val="BodyText"/>
        <w:rPr/>
      </w:pPr>
      <w:r>
        <w:rPr/>
        <w:t>La triade archicratique ne doit donc pas être comprise comme une formule à appliquer, mais comme un opérateur de discernement. Elle n’a d’intérêt qu’à condition d’éclairer des configurations diverses sans abolir leur singularité, et de demeurer elle-même falsifiable par les terrains auxquels elle se confronte.</w:t>
      </w:r>
    </w:p>
    <w:p>
      <w:pPr>
        <w:pStyle w:val="Heading3"/>
        <w:numPr>
          <w:ilvl w:val="2"/>
          <w:numId w:val="2"/>
        </w:numPr>
        <w:rPr/>
      </w:pPr>
      <w:r>
        <w:rPr/>
        <w:t>3.8.2 — La métaphore opératoire : tenségrité évolutive et régulation dynamique</w:t>
      </w:r>
    </w:p>
    <w:p>
      <w:pPr>
        <w:pStyle w:val="BodyText"/>
        <w:rPr/>
      </w:pPr>
      <w:r>
        <w:rPr/>
        <w:t>L’emprunt au vocabulaire de la tenségrité ne vaut ici ni comme effet de style ni comme simple analogie suggestive. Il répond à une difficulté précise : comment nommer une structure qui ne tient ni par un centre souverain unique, ni par l’homogénéité de ses éléments, mais par la mise en tension de composantes hétérogènes dont aucune ne peut absorber les autres sans ruiner l’ensemble ? C’est à cette condition seulement qu’un concept venu d’ailleurs peut devenir opératoire : non lorsqu’il décore une pensée, mais lorsqu’il lui permet de formuler plus rigoureusement une difficulté qu’elle rencontrait déjà.</w:t>
      </w:r>
    </w:p>
    <w:p>
      <w:pPr>
        <w:pStyle w:val="BodyText"/>
        <w:rPr/>
      </w:pPr>
      <w:r>
        <w:rPr/>
        <w:t>C’est dans cet esprit que nous mobilisons ici la notion de tenségrité. Le terme fut forgé par Buckminster Fuller, tandis que les premières réalisations qui en ont rendu le principe visible doivent beaucoup à Kenneth Snelson. Il importe de le rappeler, non par scrupule érudit secondaire, mais parce que cette généalogie interdit déjà une lecture simpliste : la tenségrité ne désigne pas un schème abstrait détaché de toute matérialité, mais une manière de penser la tenue d’une structure à partir d’éléments hétérogènes maintenus en rapport sans fusion ni centre unique.</w:t>
      </w:r>
    </w:p>
    <w:p>
      <w:pPr>
        <w:pStyle w:val="BodyText"/>
        <w:rPr/>
      </w:pPr>
      <w:r>
        <w:rPr/>
        <w:t>Ce que nous retenons de cette notion n’est donc pas la figure technique elle-même, encore moins le prestige d’un modèle architectural transposé au politique, mais une hypothèse de structure : un système peut conserver une cohérence sans reposer sur un principe unique de commandement, à condition que ses composantes demeurent prises dans des relations de contrainte réciproque. Sous cette forme restreinte, la tenségrité offre un langage utile pour penser un ordre qui ne se maintient ni par fixité absolue, ni par dissolution dans le flux, mais par ajustement sous tension.</w:t>
      </w:r>
    </w:p>
    <w:p>
      <w:pPr>
        <w:pStyle w:val="BodyText"/>
        <w:rPr/>
      </w:pPr>
      <w:r>
        <w:rPr/>
        <w:t>À ce titre, la tenségrité éclaire utilement l’agencement archicratique. Ni l’arcalité, ni la cratialité, ni l’archicration ne peuvent suffire isolément à rendre un régime viable. Livrée à elle-même, l’arcalité se rigidifie ; livrée à elle-même, la cratialité tend à se refermer sur l’effectuation ; livrée à elle-même, l’archicration risque de se dissiper en scène sans prise. Ce que la métaphore rend pensable, ce n’est donc pas une répartition mécanique de fonctions, mais la nécessité d’une co-contrainte : chaque pôle ne tient qu’à la condition d’être limité, repris et relancé par les deux autres.</w:t>
      </w:r>
    </w:p>
    <w:p>
      <w:pPr>
        <w:pStyle w:val="BodyText"/>
        <w:rPr/>
      </w:pPr>
      <w:r>
        <w:rPr/>
        <w:t>Une telle co-contrainte ne doit pas être comprise comme un simple équilibre de compensation. Elle désigne plutôt une condition de tenue dans laquelle aucun pôle ne peut se suffire sans produire, à terme, sa propre pathologie. L’arcalité, sans reprise, verse dans la fixation ; la cratialité, sans limitation, tend à absorber la régulation dans la seule effectuation ; l’archicration, sans adossement, menace de se réduire à une pure comparution sans prise. La tenségrité permet ainsi de penser non une réconciliation des fonctions, mais leur dépendance conflictuelle : chacune ne demeure viable qu’en rencontrant la résistance réglée des deux autres.</w:t>
      </w:r>
    </w:p>
    <w:p>
      <w:pPr>
        <w:pStyle w:val="BodyText"/>
        <w:rPr/>
      </w:pPr>
      <w:r>
        <w:rPr/>
        <w:t>Toutefois, l’analogie ne devient vraiment utile qu’à une condition : ne pas la figer. Ce n’est pas la tenségrité comme équilibre statique qui importe ici, mais comme stabilité capable d’absorber des variations sans perdre toute cohérence. En ce sens, l’apport des usages biologiques de la notion, notamment chez Donald Ingber, n’a pas valeur de preuve externe pour le paradigme archicratique ; il a valeur d’indice heuristique. La tenségrité cellulaire montre qu’une structure peut demeurer consistante tout en étant traversée par des contraintes, des déformations et des réajustements permanents. C’est cette idée d’une stabilité sous transformation, et non l’importation directe d’un modèle biologique dans le champ politique, que nous retenons ici.</w:t>
      </w:r>
    </w:p>
    <w:p>
      <w:pPr>
        <w:pStyle w:val="BodyText"/>
        <w:rPr/>
      </w:pPr>
      <w:r>
        <w:rPr/>
        <w:t>On peut alors préciser le noyau opératoire de la métaphore. L’équilibre tenségral ne désigne pas un état final de concorde, mais un régime de vigilance structurelle. Il ne s’agit pas d’abolir les contradictions, mais d’empêcher qu’elles ne se transforment soit en rupture de l’ensemble, soit en neutralisation silencieuse. Sous cet angle, l’archicratie ne vise ni l’harmonie, ni la stabilité définitive ; elle suppose des procédures de reprise, des seuils d’alerte et des scènes où la tension puisse devenir lisible et traitable.</w:t>
      </w:r>
    </w:p>
    <w:p>
      <w:pPr>
        <w:pStyle w:val="BodyText"/>
        <w:rPr/>
      </w:pPr>
      <w:r>
        <w:rPr/>
        <w:t>Dans une telle perspective, l’arcalité n’est viable qu’à condition d’être reprise, la cratialité qu’à condition d’être exposée, l’archicration qu’à condition d’être adossée à des formes et à des capacités d’effectuation. Autrement dit, aucun des trois pôles n’agit comme fondement souverain du système ; chacun n’opère qu’en relation avec les autres, dans un agencement où la tenue dépend précisément de l’impossibilité d’un monopole fonctionnel durable.</w:t>
      </w:r>
    </w:p>
    <w:p>
      <w:pPr>
        <w:pStyle w:val="BodyText"/>
        <w:rPr/>
      </w:pPr>
      <w:r>
        <w:rPr/>
        <w:t>La tenségrité vaut ainsi moins comme image que comme opérateur de clarification. Elle permet de penser ensemble trois exigences : l’interdépendance des prises, l’absence de centre unique suffisant, et la nécessité d’une cohérence qui ne supprime ni les écarts ni les reprises. Elle n’introduit ni une synthèse paisible, ni une dialectique réconciliatrice ; elle aide plutôt à concevoir une structure de co-contraintes dont la viabilité dépend de sa capacité à demeurer transformable.</w:t>
      </w:r>
    </w:p>
    <w:p>
      <w:pPr>
        <w:pStyle w:val="BodyText"/>
        <w:rPr/>
      </w:pPr>
      <w:r>
        <w:rPr/>
        <w:t>Reste alors à savoir si cette métaphore résiste à l’épreuve des cas. Car une tenségrité purement élégante ne serait ici d’aucune utilité. L’enjeu n’est pas de disposer d’une belle image du politique, mais d’un principe de lecture capable d’éclairer les moments où la mémoire se rigidifie, où l’effectuation se ferme sur elle-même, où la scène se vide en pure simulation. Si la notion de tenségrité a ici une portée, ce sera donc uniquement à la mesure de son rendement critique : non parce qu’elle offrirait une figure harmonieuse de la régulation, mais parce qu’elle aiderait à repérer les points où une configuration cesse de tenir par tension réglée et commence à dériver vers la clôture, la préemption ou la dissipation. C’est à cette condition seulement que le paradigme archicratique, compris comme régime de tension transformable, pourra prétendre tenir à la fois sous critique et dans le monde.</w:t>
      </w:r>
    </w:p>
    <w:p>
      <w:pPr>
        <w:pStyle w:val="Heading3"/>
        <w:numPr>
          <w:ilvl w:val="2"/>
          <w:numId w:val="2"/>
        </w:numPr>
        <w:rPr/>
      </w:pPr>
      <w:r>
        <w:rPr/>
        <w:t>3.8.3 — Six corollaires fondamentaux du paradigme archicratique</w:t>
      </w:r>
    </w:p>
    <w:p>
      <w:pPr>
        <w:pStyle w:val="BodyText"/>
        <w:rPr/>
      </w:pPr>
      <w:r>
        <w:rPr/>
        <w:t>Si le paradigme archicratique veut valoir comme autre chose qu’une proposition spéculative, il doit accepter l’épreuve de ses conséquences internes. Un paradigme n’acquiert de portée réelle que s’il permet de dégager des corollaires capables d’expliciter ses conditions de fonctionnement, d’en faire apparaître les points de fragilité et d’en tester la résistance sur des configurations effectives. L’enjeu n’est donc pas seulement logique ; il est aussi heuristique et critique.</w:t>
      </w:r>
    </w:p>
    <w:p>
      <w:pPr>
        <w:pStyle w:val="BodyText"/>
        <w:rPr/>
      </w:pPr>
      <w:r>
        <w:rPr/>
        <w:t>En tant que structure de co-viabilité fondée sur la tension entre arcalité, cratialité et archicration, le paradigme archicratique appelle ainsi des corollaires différenciés. Ceux-ci décrivent les formes de dérive qui apparaissent lorsqu’un pôle s’autonomise, lorsqu’un autre s’affaisse, ou lorsque leur mise en tension cesse d’être effectivement soutenue.</w:t>
      </w:r>
    </w:p>
    <w:p>
      <w:pPr>
        <w:pStyle w:val="BodyText"/>
        <w:rPr/>
      </w:pPr>
      <w:r>
        <w:rPr/>
        <w:t>Nous en retiendrons six. Ils ne constituent pas un code complet de la régulation, mais une matrice critique minimale permettant d’évaluer si l’agencement des pôles demeure viable, ou s’il a commencé à dériver vers une forme de capture, de rigidification ou de neutralisation.</w:t>
      </w:r>
    </w:p>
    <w:p>
      <w:pPr>
        <w:pStyle w:val="Heading4"/>
        <w:numPr>
          <w:ilvl w:val="3"/>
          <w:numId w:val="2"/>
        </w:numPr>
        <w:rPr/>
      </w:pPr>
      <w:r>
        <w:rPr>
          <w:b/>
          <w:bCs/>
        </w:rPr>
        <w:t>Corollaire I : L’héritage sans relecture devient injonction</w:t>
      </w:r>
    </w:p>
    <w:p>
      <w:pPr>
        <w:pStyle w:val="BodyText"/>
        <w:rPr/>
      </w:pPr>
      <w:r>
        <w:rPr/>
        <w:t>L’a</w:t>
      </w:r>
      <w:r>
        <w:rPr>
          <w:i/>
          <w:iCs/>
        </w:rPr>
        <w:t>rcalité</w:t>
      </w:r>
      <w:r>
        <w:rPr/>
        <w:t>, en tant que prise instituante sur la durée, ne vaut que si elle demeure traversable — non au sens de perméabilité sans forme, mais au sens d’une structure interprétable, appropriable, disputable. Car sans cette relecture située, contextualisée, actualisée, le passé cesse d’être une mémoire vive pour devenir une prescription morte. Ce qui devait être le ferment d’un commun durable devient alors une source d’obéissance muette, d’adhésion contrainte, de clôture symbolique.</w:t>
      </w:r>
    </w:p>
    <w:p>
      <w:pPr>
        <w:pStyle w:val="BodyText"/>
        <w:rPr/>
      </w:pPr>
      <w:r>
        <w:rPr/>
        <w:t>Dès qu’elle se soustrait à la reprise critique, l’arcalité tend à se dogmatiser. On passe alors d’un héritage transmissible — donc transformable — à une autorité sacralisée, soustraite à la discussion. La mémoire ne joue plus comme ressource de configuration ; elle commence à fonctionner comme principe d’immunité contre l’épreuve.</w:t>
      </w:r>
    </w:p>
    <w:p>
      <w:pPr>
        <w:pStyle w:val="BodyText"/>
        <w:rPr/>
      </w:pPr>
      <w:r>
        <w:rPr/>
        <w:t>Cette fermeture produit des effets politiques très concrets, car un régime arcal non contestable tend vers la fossilisation : ses normes ne peuvent plus être mises à jour ; ses cadres deviennent inamovibles ; son langage devient incantatoire. L’</w:t>
      </w:r>
      <w:r>
        <w:rPr>
          <w:i/>
          <w:iCs/>
        </w:rPr>
        <w:t>arcalité</w:t>
      </w:r>
      <w:r>
        <w:rPr/>
        <w:t xml:space="preserve"> cesse alors d’être un milieu de symbolisation ouverte, pour devenir un mécanisme de légitimation autoritaire. La tradition y joue le rôle de fondement absolu — non plus comme point de départ reconfigurable, mais comme horizon indépassable.</w:t>
      </w:r>
    </w:p>
    <w:p>
      <w:pPr>
        <w:pStyle w:val="BodyText"/>
        <w:rPr/>
      </w:pPr>
      <w:r>
        <w:rPr/>
        <w:t>La philosophie politique moderne a tenté d’y résister. Castoriadis, avec sa notion de l’institution imaginaire de la société, insiste sur le fait que toute institution n’est légitime que si elle peut être reprise, rejouée, refondée dans et par l’imaginaire social instituant. L’institution qui se prend pour son propre fondement devient non pas tradition, mais délires d’auto-référence. De même, chez Hannah Arendt, la condition politique repose sur la natalité, c’est-à-dire la capacité d’inaugurer, de commencer. Or, l’</w:t>
      </w:r>
      <w:r>
        <w:rPr>
          <w:i/>
          <w:iCs/>
        </w:rPr>
        <w:t>arcalité</w:t>
      </w:r>
      <w:r>
        <w:rPr/>
        <w:t xml:space="preserve"> non relue étrangle la natalité : elle impose un éternel retour du même, où la répétition tient lieu de justice.</w:t>
      </w:r>
    </w:p>
    <w:p>
      <w:pPr>
        <w:pStyle w:val="BodyText"/>
        <w:rPr/>
      </w:pPr>
      <w:r>
        <w:rPr/>
        <w:t>On retrouve également cette tension dans les travaux de Paul Ricoeur (</w:t>
      </w:r>
      <w:r>
        <w:rPr>
          <w:i/>
          <w:iCs/>
        </w:rPr>
        <w:t>La mémoire, l’histoire, l’oubli</w:t>
      </w:r>
      <w:r>
        <w:rPr/>
        <w:t>, 2000), qui distingue la mémoire vive de la mémoire empêchée, et insiste sur la nécessité herméneutique d’une relecture critique du passé, condition de toute historicité démocratique.</w:t>
      </w:r>
    </w:p>
    <w:p>
      <w:pPr>
        <w:pStyle w:val="BodyText"/>
        <w:rPr/>
      </w:pPr>
      <w:r>
        <w:rPr/>
        <w:t>Cette logique conduit à ce que nous nommons une métastabilité autoritaire : une stabilité obtenue non par équilibre réglé, mais par verrouillage rigide des possibles. C’est la société bloquée — non pas parce qu’elle serait incapable d’agir, mais parce qu’elle s’interdit de penser autrement que selon les formes héritées. Dès lors, l’effort critique tend à être disqualifié, l’adaptation soupçonnée, et la divergence requalifiée en atteinte au commun hérité.</w:t>
      </w:r>
    </w:p>
    <w:p>
      <w:pPr>
        <w:pStyle w:val="BodyText"/>
        <w:rPr/>
      </w:pPr>
      <w:r>
        <w:rPr/>
        <w:t>Plus profondément, l’arcalité figée impose un cadre de sens soustrait à l’épreuve. La transmission tend alors à se refermer sur la répétition, le récit historique à perdre sa pluralité, et l’ordre symbolique à se présenter comme allant de soi. Et dans ce contexte, la mémoire se mue en injonction de légitimation.</w:t>
      </w:r>
    </w:p>
    <w:p>
      <w:pPr>
        <w:pStyle w:val="BodyText"/>
        <w:rPr/>
      </w:pPr>
      <w:r>
        <w:rPr/>
        <w:t xml:space="preserve">C’est pourquoi ce premier corollaire est fondamental. Il ne s’agit pas d’accuser toute </w:t>
      </w:r>
      <w:r>
        <w:rPr>
          <w:i/>
          <w:iCs/>
        </w:rPr>
        <w:t>arcalité</w:t>
      </w:r>
      <w:r>
        <w:rPr/>
        <w:t xml:space="preserve"> de conservatisme, mais de rappeler que l’</w:t>
      </w:r>
      <w:r>
        <w:rPr>
          <w:i/>
          <w:iCs/>
        </w:rPr>
        <w:t>arcalité</w:t>
      </w:r>
      <w:r>
        <w:rPr/>
        <w:t xml:space="preserve"> sans </w:t>
      </w:r>
      <w:r>
        <w:rPr>
          <w:i/>
          <w:iCs/>
        </w:rPr>
        <w:t>archicration</w:t>
      </w:r>
      <w:r>
        <w:rPr/>
        <w:t xml:space="preserve"> est vouée à la stérilité. Elle peut durer, oui — mais au prix de l’asphyxie du devenir. Elle peut structurer, oui — mais au prix de l’interdit de refondation. Elle peut légitimer — mais sans jamais laisser place à l’énonciation critique de ses propres limites.</w:t>
      </w:r>
    </w:p>
    <w:p>
      <w:pPr>
        <w:pStyle w:val="BodyText"/>
        <w:rPr/>
      </w:pPr>
      <w:r>
        <w:rPr/>
        <w:t>L’arcalité ne peut donc demeurer viable qu’à la condition d’accepter d’être relue, discutée et réinterprétée dans des scènes instituées de confrontation. Sans cela, elle cesse d’être un appui pour la durée et devient un opérateur de clôture. Un ordre échoue à ce test lorsqu’il invoque le passé comme justification indiscutable, sans ouvrir ses héritages à une reprise située.</w:t>
      </w:r>
    </w:p>
    <w:p>
      <w:pPr>
        <w:pStyle w:val="Heading4"/>
        <w:numPr>
          <w:ilvl w:val="3"/>
          <w:numId w:val="2"/>
        </w:numPr>
        <w:rPr/>
      </w:pPr>
      <w:r>
        <w:rPr>
          <w:b/>
          <w:bCs/>
        </w:rPr>
        <w:t>Corollaire II : La force sans épreuve devient empêchement</w:t>
      </w:r>
    </w:p>
    <w:p>
      <w:pPr>
        <w:pStyle w:val="BodyText"/>
        <w:rPr/>
      </w:pPr>
      <w:r>
        <w:rPr/>
        <w:t xml:space="preserve">La </w:t>
      </w:r>
      <w:r>
        <w:rPr>
          <w:i/>
          <w:iCs/>
        </w:rPr>
        <w:t>cratialité</w:t>
      </w:r>
      <w:r>
        <w:rPr/>
        <w:t>, dans le paradigme archicratique, désigne la capacité opérante d’un collectif à produire des effets tangibles, à configurer le réel, à agir dans et sur le monde. Elle est l’incidence concrète d’une organisation sur son environnement, sa capacité à transformer, organiser, mobiliser, stabiliser, faire advenir. Elle correspond à ce que Foucault nommait l’action sur les actions — une stratégie sans sujet, une force qui circule, s’ajuste, s’agence.</w:t>
      </w:r>
    </w:p>
    <w:p>
      <w:pPr>
        <w:pStyle w:val="BodyText"/>
        <w:rPr/>
      </w:pPr>
      <w:r>
        <w:rPr/>
        <w:t xml:space="preserve">Mais cette force, si elle ne se laisse pas éprouver, devient un empêchement structurel. Car toute </w:t>
      </w:r>
      <w:r>
        <w:rPr>
          <w:i/>
          <w:iCs/>
        </w:rPr>
        <w:t>cratialité</w:t>
      </w:r>
      <w:r>
        <w:rPr/>
        <w:t xml:space="preserve"> qui ne s’expose pas à l’objection, qui ne se laisse pas contredire, qui se soustrait au bien fondé de sa légitimité, tend à se naturaliser, à se présenter comme allant de soi, comme seule option raisonnable, comme implacable nécessité. Elle se transforme alors en un pouvoir silencieux, imperméable à la critique, cloisonné derrière le paravent de l’efficacité.</w:t>
      </w:r>
    </w:p>
    <w:p>
      <w:pPr>
        <w:pStyle w:val="BodyText"/>
        <w:rPr/>
      </w:pPr>
      <w:r>
        <w:rPr/>
        <w:t>Cela produit des formes d’empêchement peu visibles : des régimes d’autorité qui n’ont pas nécessairement besoin de réprimer ouvertement, parce qu’ils organisent en amont les conditions de l’adhésion ou de l’acceptation passive. Des systèmes où le contrôle se fait sans coercition visible, où l’agir est canalisé avant même de se poser comme problème. C’est ce que la gouvernementalité néolibérale a perfectionné par l’intermédiaire d’un ordre incorporé, infrastructurel, algorithmique. Un ordre où la puissance ne se nomme plus, mais s’insinue dans les comportements, les interfaces, les architectures d’action.</w:t>
      </w:r>
    </w:p>
    <w:p>
      <w:pPr>
        <w:pStyle w:val="BodyText"/>
        <w:rPr/>
      </w:pPr>
      <w:r>
        <w:rPr/>
        <w:t>Cela rejoint les analyses de Pierre Dardot et Christian Laval (</w:t>
      </w:r>
      <w:r>
        <w:rPr>
          <w:i/>
          <w:iCs/>
        </w:rPr>
        <w:t>La nouvelle raison du monde</w:t>
      </w:r>
      <w:r>
        <w:rPr/>
        <w:t>, 2009), qui montrent que le néolibéralisme ne s’impose pas par des injonctions directes, mais en structurant les comportements individuels à travers des normes intériorisées de performance, de responsabilité et d’auto-entrepreneuriat. Le pouvoir n’y est plus porté par un sujet central, mais disséminé à travers des dispositifs qui organisent l’agir selon les logiques d’optimisation, de calcul et de mise en valeur de soi.</w:t>
      </w:r>
    </w:p>
    <w:p>
      <w:pPr>
        <w:pStyle w:val="BodyText"/>
        <w:rPr/>
      </w:pPr>
      <w:r>
        <w:rPr/>
        <w:t xml:space="preserve">Dans une telle configuration, la </w:t>
      </w:r>
      <w:r>
        <w:rPr>
          <w:i/>
          <w:iCs/>
        </w:rPr>
        <w:t>cratialité</w:t>
      </w:r>
      <w:r>
        <w:rPr/>
        <w:t xml:space="preserve"> devient opaque : elle agit sans se dire, sans s’exposer, sans seuil de réversibilité. Elle interdit alors toute possibilité de reconfiguration, car elle neutralise en amont les conditions mêmes du questionnement. On n’interroge plus ce qui agit, parce qu’on ne sait plus qui ou quoi agit, ni selon quelles logiques. La force devient impensée — et donc inarrêtable. Ce n’est plus la violence de l’empire, mais la fluidité imperceptible de l’empêchement technico-symbolique.</w:t>
      </w:r>
    </w:p>
    <w:p>
      <w:pPr>
        <w:pStyle w:val="BodyText"/>
        <w:rPr/>
      </w:pPr>
      <w:r>
        <w:rPr/>
        <w:t xml:space="preserve">Simondon nous en avait avertis : toute effectuation non transductive, c’est-à-dire non traversée par la reprise critique de ses tensions, dégénère en simple exécution, en automatisme sans régulation. La </w:t>
      </w:r>
      <w:r>
        <w:rPr>
          <w:i/>
          <w:iCs/>
        </w:rPr>
        <w:t>cratialité</w:t>
      </w:r>
      <w:r>
        <w:rPr/>
        <w:t xml:space="preserve"> sans mise à l’épreuve archicratique n’individualise rien : elle applique, impose, écrase. Elle produit des formes sans plasticité, des actions sans cadre conflictuel, des décisions sans justification.</w:t>
      </w:r>
    </w:p>
    <w:p>
      <w:pPr>
        <w:pStyle w:val="BodyText"/>
        <w:rPr/>
      </w:pPr>
      <w:r>
        <w:rPr/>
        <w:t>L’histoire politique montre souvent comment l’efficacité est invoquée comme substitut de la légitimité : ce qui fonctionne serait, de ce seul fait, justifié. Une telle rhétorique de l’évidence fonctionnelle court-circuite la discussion, disqualifie l’objection et traite toute résistance comme irresponsable. Or un ordre dont les mécanismes d’action cessent d’être exposés à l’épreuve tend, à terme, à se rigidifier et à perdre sa capacité d’ajustement.</w:t>
      </w:r>
    </w:p>
    <w:p>
      <w:pPr>
        <w:pStyle w:val="BodyText"/>
        <w:rPr/>
      </w:pPr>
      <w:r>
        <w:rPr/>
        <w:t xml:space="preserve">Ce que ce corollaire affirme avec force, c’est donc qu’aucune </w:t>
      </w:r>
      <w:r>
        <w:rPr>
          <w:i/>
          <w:iCs/>
        </w:rPr>
        <w:t>cratialité</w:t>
      </w:r>
      <w:r>
        <w:rPr/>
        <w:t xml:space="preserve"> n’est légitime si elle ne supporte d’être éprouvée. La puissance d’agir doit donc pouvoir être confrontée à ses effets, à ses abus, à ses externalités. Elle doit pouvoir être arrêtée, amendée, redéployée. Elle doit se soumettre à des seuils de mise en visibilité, à des formes de recevabilité, à des procédures contradictoires.</w:t>
      </w:r>
    </w:p>
    <w:p>
      <w:pPr>
        <w:pStyle w:val="BodyText"/>
        <w:rPr/>
      </w:pPr>
      <w:r>
        <w:rPr/>
        <w:t xml:space="preserve">Cela implique la mise en place de </w:t>
      </w:r>
      <w:r>
        <w:rPr>
          <w:i/>
          <w:iCs/>
        </w:rPr>
        <w:t>contre-prises archicratiques</w:t>
      </w:r>
      <w:r>
        <w:rPr/>
        <w:t xml:space="preserve"> : des mécanismes qui permettent à la force d’être nommée, discutée, désignée comme telle. Des dispositifs de confrontation où l’on peut dire : « ceci est un usage de pouvoir », et non le faire passer pour un ajustement neutre. Des espaces où les effets d’un acte sont rapportables à un cadre, à un acteur, à une procédure. Car un ordre qui agit sans jamais se montrer comme tel rend invivable, même s’il demeure techniquement fonctionnel.</w:t>
      </w:r>
    </w:p>
    <w:p>
      <w:pPr>
        <w:pStyle w:val="BodyText"/>
        <w:rPr/>
      </w:pPr>
      <w:r>
        <w:rPr/>
        <w:t xml:space="preserve">Prenons l’exemple d’une plateforme numérique : ses algorithmes organisent les parcours, hiérarchisent les visibilités, imposent des routines d’usage. Tant que cette </w:t>
      </w:r>
      <w:r>
        <w:rPr>
          <w:i/>
          <w:iCs/>
        </w:rPr>
        <w:t>cratialité</w:t>
      </w:r>
      <w:r>
        <w:rPr/>
        <w:t xml:space="preserve"> reste non contestable — c’est-à-dire opaque, non modifiable, sans recours —, elle devient un empêchement structurel. Non parce qu’elle est inefficace, mais parce qu’elle ne laisse plus d’espace à l’initiative, à la reprise, à l’alternative. Le pouvoir, ici, se nie comme tel — et c’est précisément ce qui le rend total.</w:t>
      </w:r>
    </w:p>
    <w:p>
      <w:pPr>
        <w:pStyle w:val="BodyText"/>
        <w:rPr/>
      </w:pPr>
      <w:r>
        <w:rPr/>
        <w:t xml:space="preserve">Enfin, il faut insister sur une idée centrale : la </w:t>
      </w:r>
      <w:r>
        <w:rPr>
          <w:i/>
          <w:iCs/>
        </w:rPr>
        <w:t>cratialité archicratique</w:t>
      </w:r>
      <w:r>
        <w:rPr/>
        <w:t xml:space="preserve"> n’est pas l’ennemie de l’efficacité, mais elle en est la condition durable. Car seule une force mise à l’épreuve peut apprendre de ses erreurs, ajuster ses dispositifs, affiner ses protocoles. Seule une puissance contestable peut devenir résiliente. Le test en est la garantie critique.</w:t>
      </w:r>
    </w:p>
    <w:p>
      <w:pPr>
        <w:pStyle w:val="BodyText"/>
        <w:rPr/>
      </w:pPr>
      <w:r>
        <w:rPr/>
        <w:t>Une cratialité qui ne se laisse plus interroger cesse alors d’être une puissance régulée pour devenir une autorité close. Elle ne compose plus avec l’épreuve ; elle tend à s’y soustraire.</w:t>
      </w:r>
    </w:p>
    <w:p>
      <w:pPr>
        <w:pStyle w:val="BodyText"/>
        <w:rPr/>
      </w:pPr>
      <w:r>
        <w:rPr/>
        <w:t>Un régime archicratique, au contraire, s’assure que toute force puisse être ramenée à un franchissement critique, à un espace de visibilité, à une forme de confrontation située. C’est à cette condition que l’agir peut être légitime — non parce qu’il serait toujours juste, mais parce qu’il accepte d’être jugé. Un ordre échoue à ce test lorsque ses mécanismes d’action ne peuvent être ni contestés, ni visibles, ni soumis à un processus de régulation contradictoire.</w:t>
      </w:r>
    </w:p>
    <w:p>
      <w:pPr>
        <w:pStyle w:val="Heading4"/>
        <w:numPr>
          <w:ilvl w:val="3"/>
          <w:numId w:val="2"/>
        </w:numPr>
        <w:rPr/>
      </w:pPr>
      <w:r>
        <w:rPr>
          <w:b/>
          <w:bCs/>
        </w:rPr>
        <w:t>Corollaire III : La scène sans seuils devient simulacre</w:t>
      </w:r>
    </w:p>
    <w:p>
      <w:pPr>
        <w:pStyle w:val="BodyText"/>
        <w:rPr/>
      </w:pPr>
      <w:r>
        <w:rPr/>
        <w:t>Il ne suffit pas d’ouvrir une scène. Encore faut-il qu’elle institue un cadre contradictoire, qu’elle rende les interventions situables et qu’elle garantisse la possibilité de leur traitement. Une archicration sans lieu d’articulation, sans formes de recevabilité et sans temporalité identifiable ne produit ni épreuve ni régulation ; elle tend à se dissoudre dans l’indifférenciation des prises de parole.</w:t>
      </w:r>
    </w:p>
    <w:p>
      <w:pPr>
        <w:pStyle w:val="BodyText"/>
        <w:rPr/>
      </w:pPr>
      <w:r>
        <w:rPr/>
        <w:t>Ce que ce corollaire pointe, c’est la fragilité constitutive de l’arène archicratique lorsqu’elle oublie sa propre exigence de formalisation. Une scène n’est pas un espace vide où des voix s’élèveraient spontanément. Elle est une architecture d’accueil : elle dispose de seuils, délimite les conditions d’entrée, institue les conditions de recevabilité. Elle trie, non pour exclure arbitrairement, mais pour garantir la justiciabilité des actes de parole, pour produire une situation d’énonciation responsable et réversible. Sans cette exigence de seuil, l’</w:t>
      </w:r>
      <w:r>
        <w:rPr>
          <w:i/>
          <w:iCs/>
        </w:rPr>
        <w:t>archicration</w:t>
      </w:r>
      <w:r>
        <w:rPr/>
        <w:t xml:space="preserve"> se dissout dans une indiscernabilité généralisée.</w:t>
      </w:r>
    </w:p>
    <w:p>
      <w:pPr>
        <w:pStyle w:val="BodyText"/>
        <w:rPr/>
      </w:pPr>
      <w:r>
        <w:rPr/>
        <w:t>L’indistinction n’est pas la liberté. C’est l’abolition des écarts repérables, la neutralisation des positions, la disparition des effets différenciateurs de l’interpellation. Une structure d’accueil sans seuils n’est pas plus démocratique ; elle devient rapidement impraticable. Elle engendre ce que Lefort redoutait : un « lieu vide » qui ne serait plus traversé par la conflictualité vivante, mais occupé par une multiplicité flottante, sans ancrage, sans adossement, sans franchissement critique véritable.</w:t>
      </w:r>
    </w:p>
    <w:p>
      <w:pPr>
        <w:pStyle w:val="BodyText"/>
        <w:rPr/>
      </w:pPr>
      <w:r>
        <w:rPr/>
        <w:t>Prenons l’exemple des dispositifs participatifs mal cadrés : assemblées consultatives ouvertes, débats publics sans modération, plateformes numériques où toute parole se vaut. Ces formes, en prétendant incarner la démocratie directe, produisent souvent leur exact contraire : une saturation de signaux sans traitement, une prolifération de doléances sans filtres, un bruit sans contrepoint. Ce n’est pas la parole qui y est garantie, mais son évacuation par l’encombrement. L’institution d’un seuil — d’un protocole, d’un format, d’un espace-temps réglé — n’est pas une fermeture, mais la condition d’un traitement possible du différend.</w:t>
      </w:r>
    </w:p>
    <w:p>
      <w:pPr>
        <w:pStyle w:val="BodyText"/>
        <w:rPr/>
      </w:pPr>
      <w:r>
        <w:rPr/>
        <w:t>Des travaux empiriques comme ceux de Loïc Blondiaux (</w:t>
      </w:r>
      <w:r>
        <w:rPr>
          <w:i/>
          <w:iCs/>
        </w:rPr>
        <w:t>Le nouvel esprit de la démocratie</w:t>
      </w:r>
      <w:r>
        <w:rPr/>
        <w:t>, 2008) ou de Yves Sintomer (</w:t>
      </w:r>
      <w:r>
        <w:rPr>
          <w:i/>
          <w:iCs/>
        </w:rPr>
        <w:t>Le pouvoir au peuple</w:t>
      </w:r>
      <w:r>
        <w:rPr/>
        <w:t>, 2011) ont démontré que les dispositifs sans architecture de recevabilité produisent plus souvent de la frustration politique que de la citoyenneté active.</w:t>
      </w:r>
    </w:p>
    <w:p>
      <w:pPr>
        <w:pStyle w:val="BodyText"/>
        <w:rPr/>
      </w:pPr>
      <w:r>
        <w:rPr/>
        <w:t>Il en va de même pour les protocoles judiciaires, parlementaires ou scientifiques : ce n’est pas l’exclusion qui fonde leur légitimité, mais la possibilité de mise en forme, de mise en épreuve, de réversibilité des positions. Le seuil y fonctionne comme un régime d’attention, d’écoute, de responsabilité, sans lequel l’énonciation perd toute portée opératoire. Ce que l’on appelle alors « scène », dans ces configurations, c’est l’ensemble des conditions par lesquelles une voix devient audible comme interpellation recevable.</w:t>
      </w:r>
    </w:p>
    <w:p>
      <w:pPr>
        <w:pStyle w:val="BodyText"/>
        <w:rPr/>
      </w:pPr>
      <w:r>
        <w:rPr/>
        <w:t>Et lorsque cette architecture se dissout — soit par négligence, soit par excès de performativité —, l’archicration devient simulation. Tout est dit, rien n’est entendu. Tout est montré, rien n’est retenu. La visibilité devient spectacle ; la parole devient forme creuse. La scène se mue en anti-scène.</w:t>
      </w:r>
    </w:p>
    <w:p>
      <w:pPr>
        <w:pStyle w:val="BodyText"/>
        <w:rPr/>
      </w:pPr>
      <w:r>
        <w:rPr/>
        <w:t>Le seuil n’est donc pas un empêchement : il est une condition de consistance. Il distingue l’interpellation de l’expression brute, la requête de l’effusion, la mise en cause du simple témoignage. Il permet à une parole d’adresser quelque chose à quelqu’un dans un espace formalisé de procès contradictoire. Sans seuil, on pourrait dire qu’il n’y a plus de parole publique — seulement des messages privés diffusés en réseau.</w:t>
      </w:r>
    </w:p>
    <w:p>
      <w:pPr>
        <w:pStyle w:val="BodyText"/>
        <w:rPr/>
      </w:pPr>
      <w:r>
        <w:rPr/>
        <w:t>Ce corollaire invite donc à repenser l’espace formalisé comme un dispositif de tension, de sélection critique, d’exposition instituée. Il y faut des protocoles de recevabilité, des formes de traitement, des indicateurs de franchissement. L’espace de contestation, pour exister comme tel, doit pouvoir différencier les énoncés, les situer, les traduire, les confronter.</w:t>
      </w:r>
    </w:p>
    <w:p>
      <w:pPr>
        <w:pStyle w:val="BodyText"/>
        <w:rPr/>
      </w:pPr>
      <w:r>
        <w:rPr/>
        <w:t>En ce sens, l’égalité formelle ne suffit pas. L’accessibilité sans cadrage n’engendre ni justice, ni démocratie. Car l’égalité sans accessibilité réelle, la parole sans contradictoire, l’interpellation sans dispositif sont les trois figures majeures de l’illusion participative contemporaine — où l’on confond la parole avec le droit de parler, l’écoute avec la réception passive, la visibilité avec la légitimité.</w:t>
      </w:r>
    </w:p>
    <w:p>
      <w:pPr>
        <w:pStyle w:val="BodyText"/>
        <w:rPr/>
      </w:pPr>
      <w:r>
        <w:rPr/>
        <w:t>Le point décisif est ici le suivant : pour être opératoire, une scène doit pouvoir contenir l’indétermination sans se refermer pour autant. Elle ne doit pas tout permettre, mais permettre à quelque chose de se jouer réellement. Elle ne vise pas l’ouverture absolue, mais la possibilité d’un conflit audible, d’un désaccord adressable, d’un litige traitable.</w:t>
      </w:r>
    </w:p>
    <w:p>
      <w:pPr>
        <w:pStyle w:val="BodyText"/>
        <w:rPr/>
      </w:pPr>
      <w:r>
        <w:rPr/>
        <w:t>C’est dans cette tension que réside la force régulatrice d’un filtre symbolique bien conçu : non pour sélectionner les voix valables a priori, mais pour rendre possible leur confrontation structurée. De sorte que l’archicration ne produit pas des opinions — elle institue des différends, des tests, des reprises. Elle transforme le discours en enjeu, l’expression en interpellation, l’indignation en adresse.</w:t>
      </w:r>
    </w:p>
    <w:p>
      <w:pPr>
        <w:pStyle w:val="BodyText"/>
        <w:rPr/>
      </w:pPr>
      <w:r>
        <w:rPr/>
        <w:t>Un cadre conflictuel qui prétend abolir tout seuil se prive ainsi des conditions mêmes d’une épreuve recevable. Ce n’est pas l’absence de forme qui libère, mais la clarté du passage, la lisibilité de l’épreuve et la possibilité d’une reconnaissance conflictuelle. Un ordre échoue à ce test lorsqu’il organise l’accueil de la parole sans conditions de forme, de recevabilité ni de visibilité suffisantes, rendant indistinct tout travail de reconfiguration.</w:t>
      </w:r>
    </w:p>
    <w:p>
      <w:pPr>
        <w:pStyle w:val="Heading4"/>
        <w:numPr>
          <w:ilvl w:val="3"/>
          <w:numId w:val="2"/>
        </w:numPr>
        <w:rPr/>
      </w:pPr>
      <w:r>
        <w:rPr>
          <w:b/>
          <w:bCs/>
        </w:rPr>
        <w:t>Corollaire IV : La critique ritualisée devient neutralisation</w:t>
      </w:r>
    </w:p>
    <w:p>
      <w:pPr>
        <w:pStyle w:val="BodyText"/>
        <w:rPr/>
      </w:pPr>
      <w:r>
        <w:rPr/>
        <w:t>Il ne suffit pas que la critique soit autorisée. Encore faut-il qu’elle puisse produire des effets, déplacer des prises et ouvrir une possibilité réelle de reconfiguration du régime qu’elle vise. Car il existe des configurations où la critique est tolérée, voire mise en scène, non pour être entendue, mais pour être absorbée, vidée de son tranchant, reléguée à un rôle d’ornement démocratique.</w:t>
      </w:r>
    </w:p>
    <w:p>
      <w:pPr>
        <w:pStyle w:val="BodyText"/>
        <w:rPr/>
      </w:pPr>
      <w:r>
        <w:rPr/>
        <w:t>La critique alors ne fait plus trembler l’édifice : elle circule comme fonction régulée, comme assignation rituelle, comme soupape inoffensive d’un ordre qui a appris à mimer sa propre contestation pour mieux la disqualifier.</w:t>
      </w:r>
    </w:p>
    <w:p>
      <w:pPr>
        <w:pStyle w:val="BodyText"/>
        <w:rPr/>
      </w:pPr>
      <w:r>
        <w:rPr/>
        <w:t>Tel est le paradoxe : une archicration peut exister en apparence — tribunes ouvertes, consultations publiques, procédures participatives — sans que jamais ses effets débordent le cadre conflictuel qui les accueille. On y écoute des oppositions. On les laisse s’exprimer. Puis l’on passe à autre chose. La contradiction est ritualisée, encadrée, neutralisée. Elle se matérialise alors comme forme vide.</w:t>
      </w:r>
    </w:p>
    <w:p>
      <w:pPr>
        <w:pStyle w:val="BodyText"/>
        <w:rPr/>
      </w:pPr>
      <w:r>
        <w:rPr/>
        <w:t>Cette désactivation symbolique par ritualisation opère selon plusieurs modalités. D’abord, la segmentation cloisonne les espaces de controverse et empêche leurs résonances systémiques. Ensuite, la temporisation assigne la confrontation à des moments spécifiques — consultations fermées, cycles de débat, séquences balisées — et la rend périodique plutôt que structurellement active. Enfin, la spectacularisation exhibe la critique sans la traiter au fond, en la convertissant en signe d’ouverture plutôt qu’en véritable épreuve.</w:t>
      </w:r>
    </w:p>
    <w:p>
      <w:pPr>
        <w:pStyle w:val="BodyText"/>
        <w:rPr/>
      </w:pPr>
      <w:r>
        <w:rPr/>
        <w:t xml:space="preserve">Ce processus a été théorisé, entre autres, par Boltanski et Chiapello dans </w:t>
      </w:r>
      <w:r>
        <w:rPr>
          <w:i/>
          <w:iCs/>
        </w:rPr>
        <w:t>Le Nouvel Esprit du Capitalisme</w:t>
      </w:r>
      <w:r>
        <w:rPr/>
        <w:t xml:space="preserve"> (1999) : le pouvoir contemporain se nourrit de la critique pour se réinventer sans jamais se remettre en question. Il intègre les formes du dissensus tout en tentant d’en épuiser la portée : les objections deviennent commentaires, les résistances deviennent « suggestions », les conflits deviennent flux à modérer. De manière convergente, Nancy Fraser (</w:t>
      </w:r>
      <w:r>
        <w:rPr>
          <w:i/>
          <w:iCs/>
        </w:rPr>
        <w:t>Scales of Justice</w:t>
      </w:r>
      <w:r>
        <w:rPr/>
        <w:t>, 2009) alerte sur la transformation de la critique en ressource de valorisation dans les régimes d’hégémonie néo-libérale, où le dissensus devient contenu dans un théâtre de légitimation.</w:t>
      </w:r>
    </w:p>
    <w:p>
      <w:pPr>
        <w:pStyle w:val="BodyText"/>
        <w:rPr/>
      </w:pPr>
      <w:r>
        <w:rPr/>
        <w:t>Dans une telle configuration, l’</w:t>
      </w:r>
      <w:r>
        <w:rPr>
          <w:i/>
          <w:iCs/>
        </w:rPr>
        <w:t>archicration</w:t>
      </w:r>
      <w:r>
        <w:rPr/>
        <w:t xml:space="preserve"> est présente, mais dysfonctionnelle. Elle existe comme décor de légitimité, non comme espace de transformation. La forme y remplace l’effet. L’accès y déplace la puissance. L’expression y dissimule l’absence d’impact.</w:t>
      </w:r>
    </w:p>
    <w:p>
      <w:pPr>
        <w:pStyle w:val="BodyText"/>
        <w:rPr/>
      </w:pPr>
      <w:r>
        <w:rPr/>
        <w:t>Ce corollaire nous oblige à aller au-delà du simple critère de présence d’une scène de contestation. Il ne suffit pas que les voies d’interpellation soient ouvertes : il faut encore que leurs effets soient possibles. Il faut que la critique puisse engendrer un déplacement réel, une inflexion, une reconfiguration.</w:t>
      </w:r>
    </w:p>
    <w:p>
      <w:pPr>
        <w:pStyle w:val="BodyText"/>
        <w:rPr/>
      </w:pPr>
      <w:r>
        <w:rPr/>
        <w:t xml:space="preserve">Cela implique qu’une parole critique vivante ne soit pas entièrement prévisible dans ses effets : une </w:t>
      </w:r>
      <w:r>
        <w:rPr>
          <w:i/>
          <w:iCs/>
        </w:rPr>
        <w:t>archicration</w:t>
      </w:r>
      <w:r>
        <w:rPr/>
        <w:t xml:space="preserve"> vivante ne peut être entièrement prédite, ni parfaitement contenue. Elle doit comporter une part d’indétermination constitutive, une capacité à submerger les protocoles qui la soutiennent. En d’autres termes : si la scène de contestation ne peut jamais faire vaciller l’ordre qu’elle traverse, alors elle ne conteste plus rien. Elle n’opère plus comme véritable mise à l’épreuve.</w:t>
      </w:r>
    </w:p>
    <w:p>
      <w:pPr>
        <w:pStyle w:val="BodyText"/>
        <w:rPr/>
      </w:pPr>
      <w:r>
        <w:rPr/>
        <w:t>On observe cette dérive dans nombre d’instances contemporaines : commissions d’éthique adossées à des décisions déjà actées ; conventions citoyennes dont les rapports restent lettres mortes ; consultations publiques ignorées dans les arbitrages ; assemblées délibératives incapables d’exercer une quelconque effectuation.</w:t>
      </w:r>
    </w:p>
    <w:p>
      <w:pPr>
        <w:pStyle w:val="BodyText"/>
        <w:rPr/>
      </w:pPr>
      <w:r>
        <w:rPr/>
        <w:t>Le langage critique y est prélevé, recyclé, instrumentalisé comme ressource d’acceptabilité sociale. Il devient un marqueur de conformité plus qu’un opérateur de tension. Il rassure, il donne l’illusion de la dispute, mais ne déplace rien. Ce n’est plus une mise en tension mais un trompe-l’œil régulateur.</w:t>
      </w:r>
    </w:p>
    <w:p>
      <w:pPr>
        <w:pStyle w:val="BodyText"/>
        <w:rPr/>
      </w:pPr>
      <w:r>
        <w:rPr/>
        <w:t>Dès lors, le critère n’est pas l’existence d’une critique, mais sa puissance de transformation. Une critique est archicratique non quand elle est autorisée, mais quand elle est audible, recevable, traitable, potentiellement efficace — même partiellement, même sous conflictualité.</w:t>
      </w:r>
    </w:p>
    <w:p>
      <w:pPr>
        <w:pStyle w:val="BodyText"/>
        <w:rPr/>
      </w:pPr>
      <w:r>
        <w:rPr/>
        <w:t>Telle est l’exigence du paradigme archicratique : rendre visibles les espaces où la critique est mise en scène sans être véritablement traitée, où l’interpellation est permise sans prise effective, et où l’objection est contenue comme rôle toléré plutôt que reçue comme force de transformation.</w:t>
      </w:r>
    </w:p>
    <w:p>
      <w:pPr>
        <w:pStyle w:val="BodyText"/>
        <w:rPr/>
      </w:pPr>
      <w:r>
        <w:rPr/>
        <w:t>Le rituel critique devient alors le lieu d’une déresponsabilisation du pouvoir : « vous avez eu la parole, vous avez été entendus » — mais aucune transformation n’est permise, ni même envisagée. L’ordre s’immunise par la répétition du dissensus.</w:t>
      </w:r>
    </w:p>
    <w:p>
      <w:pPr>
        <w:pStyle w:val="BodyText"/>
        <w:rPr/>
      </w:pPr>
      <w:r>
        <w:rPr/>
        <w:t>Ce que ce corollaire révèle, c’est que l’</w:t>
      </w:r>
      <w:r>
        <w:rPr>
          <w:i/>
          <w:iCs/>
        </w:rPr>
        <w:t>archicration</w:t>
      </w:r>
      <w:r>
        <w:rPr/>
        <w:t xml:space="preserve"> ne saurait être confondue avec la possibilité abstraite de contester. Elle n’existe qu’à condition de menacer — au moins virtuellement — la forme actuelle du pouvoir institué. Une critique qui ne fait courir aucun risque, fût-il limité, à l’ordre institué ne relève plus pleinement de l’archicration ; elle tend à devenir un dispositif de canalisation du dissensus plutôt qu’une véritable mise à l’épreuve.</w:t>
      </w:r>
    </w:p>
    <w:p>
      <w:pPr>
        <w:pStyle w:val="BodyText"/>
        <w:rPr/>
      </w:pPr>
      <w:r>
        <w:rPr/>
        <w:t>C’est pourquoi la critique ritualisée, privée de relais effectifs, devient moins un opérateur de transformation qu’un dispositif de neutralisation du litige sous apparence d’ouverture démocratique.</w:t>
      </w:r>
    </w:p>
    <w:p>
      <w:pPr>
        <w:pStyle w:val="BodyText"/>
        <w:rPr/>
      </w:pPr>
      <w:r>
        <w:rPr/>
        <w:t>En ce sens, l’</w:t>
      </w:r>
      <w:r>
        <w:rPr>
          <w:i/>
          <w:iCs/>
        </w:rPr>
        <w:t>archicration</w:t>
      </w:r>
      <w:r>
        <w:rPr/>
        <w:t xml:space="preserve"> exige une scène traversable — c’est-à-dire capable d’opérer une translation, une transmission, une mutation effective. La critique, pour être légitime, doit pouvoir changer quelque chose. Fût-ce à la marge, fût-ce par déplacement latéral, fût-ce dans la longue temporalité. Faute de quoi, elle cesse d’opérer comme critique : elle devient accompagnement, apaisement ou simple décor de légitimation.</w:t>
      </w:r>
    </w:p>
    <w:p>
      <w:pPr>
        <w:pStyle w:val="BodyText"/>
        <w:rPr/>
      </w:pPr>
      <w:r>
        <w:rPr/>
        <w:t xml:space="preserve">Le </w:t>
      </w:r>
      <w:r>
        <w:rPr>
          <w:i/>
          <w:iCs/>
        </w:rPr>
        <w:t>paradigme archicratique</w:t>
      </w:r>
      <w:r>
        <w:rPr/>
        <w:t>, à ce stade, pose donc un critère clair : un régime qui met en scène la critique sans lui permettre d’agir — même partiellement — n’est pas archicratique. Il est factuellement autoritaire, même sous apparence délibérative. Un ordre échoue à ce test lorsque les dispositifs de critique sont formellement tolérés mais sans aucun impact possible sur les décisions, les normes ou les structures. La contestation y est encadrée, segmentée, absorbée comme mise en scène sans transformation. Elle joue son rôle, mais ne déplace rien.</w:t>
      </w:r>
    </w:p>
    <w:p>
      <w:pPr>
        <w:pStyle w:val="Heading4"/>
        <w:numPr>
          <w:ilvl w:val="3"/>
          <w:numId w:val="2"/>
        </w:numPr>
        <w:rPr/>
      </w:pPr>
      <w:r>
        <w:rPr>
          <w:b/>
          <w:bCs/>
        </w:rPr>
        <w:t>Corollaire V : L’histoire monopolisée devient arme de légitimation</w:t>
      </w:r>
    </w:p>
    <w:p>
      <w:pPr>
        <w:pStyle w:val="BodyText"/>
        <w:rPr/>
      </w:pPr>
      <w:r>
        <w:rPr/>
        <w:t xml:space="preserve">Toute </w:t>
      </w:r>
      <w:r>
        <w:rPr>
          <w:i/>
          <w:iCs/>
        </w:rPr>
        <w:t>arcalité</w:t>
      </w:r>
      <w:r>
        <w:rPr/>
        <w:t>, pour être légitime, doit rester ouverte à l’interprétation, à la controverse, à la pluralité de ses récits. Lorsqu’elle se fige en histoire officielle, lorsqu’elle s’énonce sans pluralisation des voix, lorsqu’elle s’impose comme mémoire unique, elle cesse d’instituer pour commencer à justifier. Elle ne donne plus de raisons au lien social, mais le naturalise a posteriori.</w:t>
      </w:r>
    </w:p>
    <w:p>
      <w:pPr>
        <w:pStyle w:val="BodyText"/>
        <w:rPr/>
      </w:pPr>
      <w:r>
        <w:rPr/>
        <w:t>Ce phénomène est bien connu des régimes autoritaires où les éléments du passé deviennent arguments, non plus terrains d’enquêtes. Il sert alors à couvrir le présent d’un vernis de continuité, à armer les décisions présentes d’un crédit ancestral, à légitimer la domination comme prolongement “naturel” d’un récit historique incontestable. Toute contestation devient dès lors trahison de l’héritage, faute contre la mémoire, offense aux ancêtres voire hérésie contre l’ordre reçu.</w:t>
      </w:r>
    </w:p>
    <w:p>
      <w:pPr>
        <w:pStyle w:val="BodyText"/>
        <w:rPr/>
      </w:pPr>
      <w:r>
        <w:rPr/>
        <w:t xml:space="preserve">Une telle monopolisation de l’histoire transforme alors l’arcalité en instrument de verrouillage symbolique. C’est ce que Michel-Rolph Trouillot a magistralement mis en exergue dans </w:t>
      </w:r>
      <w:r>
        <w:rPr>
          <w:i/>
          <w:iCs/>
        </w:rPr>
        <w:t>Silencing the Past</w:t>
      </w:r>
      <w:r>
        <w:rPr/>
        <w:t xml:space="preserve"> (1995). L’histoire selon lui n’est jamais neutre ; elle est toujours le résultat de silences produits, de choix opérés, de voix effacées. De sorte que lorsqu’un seul récit prévaut, l’histoire cesse d’être un vecteur de transmission et devient une machinerie de légitimation. Cette critique de l’histoire comme outil de verrouillage est également présente chez Michel de Certeau (</w:t>
      </w:r>
      <w:r>
        <w:rPr>
          <w:i/>
          <w:iCs/>
        </w:rPr>
        <w:t>L’écriture de l’histoire</w:t>
      </w:r>
      <w:r>
        <w:rPr/>
        <w:t>, 1975), qui montre comment l’autorité historique se construit souvent par effacement des marges et des écarts.</w:t>
      </w:r>
    </w:p>
    <w:p>
      <w:pPr>
        <w:pStyle w:val="BodyText"/>
        <w:rPr/>
      </w:pPr>
      <w:r>
        <w:rPr/>
        <w:t>La dérive est double : d’une part, l’histoire est mobilisée comme corpus clos, achevé, indiscutable. Le passé devient archive sacrée, intouchable, non révisable — et donc non transmissible autrement que par répétition ; d’autre part, l’autorité actuelle se fonde sur cette histoire, la cite, l’invoque, la mime pour se consolider, en disqualifiant toute relecture comme menace, tout réexamen comme révisionnisme déloyal.</w:t>
      </w:r>
    </w:p>
    <w:p>
      <w:pPr>
        <w:pStyle w:val="BodyText"/>
        <w:rPr/>
      </w:pPr>
      <w:r>
        <w:rPr/>
        <w:t>C’est là que l’</w:t>
      </w:r>
      <w:r>
        <w:rPr>
          <w:i/>
          <w:iCs/>
        </w:rPr>
        <w:t>arcalité</w:t>
      </w:r>
      <w:r>
        <w:rPr/>
        <w:t>, au lieu de jouer son rôle structurant, bascule dans la stratégie. Elle ne représente plus ce qui donne cadre, repère, intelligibilité et continuité, mais se transforme en ce qui arme, protège, légitime et neutralise.</w:t>
      </w:r>
    </w:p>
    <w:p>
      <w:pPr>
        <w:pStyle w:val="BodyText"/>
        <w:rPr/>
      </w:pPr>
      <w:r>
        <w:rPr/>
        <w:t xml:space="preserve">Or une </w:t>
      </w:r>
      <w:r>
        <w:rPr>
          <w:i/>
          <w:iCs/>
        </w:rPr>
        <w:t>archicratie</w:t>
      </w:r>
      <w:r>
        <w:rPr/>
        <w:t xml:space="preserve">, pour être viable, ne peut tolérer cette fermeture. Elle suppose au contraire une </w:t>
      </w:r>
      <w:r>
        <w:rPr>
          <w:i/>
          <w:iCs/>
        </w:rPr>
        <w:t>arcalité</w:t>
      </w:r>
      <w:r>
        <w:rPr/>
        <w:t xml:space="preserve"> interprétable, critiquable, révisable, c’est-à-dire mise en tension par une </w:t>
      </w:r>
      <w:r>
        <w:rPr>
          <w:i/>
          <w:iCs/>
        </w:rPr>
        <w:t>archicration</w:t>
      </w:r>
      <w:r>
        <w:rPr/>
        <w:t xml:space="preserve"> active. Le passé n’y est pas sanctifié, mais revisité à partir des conflits qu’il génère et des pièces et éléments nouveaux que les historiens soumettent à leurs pairs et à la société. La mémoire y est plurielle, exposée, parfois litigieuse, mais justement parce qu’elle reste vivante, activable, discutable.</w:t>
      </w:r>
    </w:p>
    <w:p>
      <w:pPr>
        <w:pStyle w:val="BodyText"/>
        <w:rPr/>
      </w:pPr>
      <w:r>
        <w:rPr/>
        <w:t xml:space="preserve">C’est toute la différence entre une </w:t>
      </w:r>
      <w:r>
        <w:rPr>
          <w:i/>
          <w:iCs/>
        </w:rPr>
        <w:t>arcalité narrative</w:t>
      </w:r>
      <w:r>
        <w:rPr/>
        <w:t xml:space="preserve"> — faite d’histoires ouvertes, stratifiées, falsifiables — et une </w:t>
      </w:r>
      <w:r>
        <w:rPr>
          <w:i/>
          <w:iCs/>
        </w:rPr>
        <w:t>arcalité doctrinaire</w:t>
      </w:r>
      <w:r>
        <w:rPr/>
        <w:t>, faite d’une seule histoire, close, imposée. Là où l’</w:t>
      </w:r>
      <w:r>
        <w:rPr>
          <w:i/>
          <w:iCs/>
        </w:rPr>
        <w:t>archicration</w:t>
      </w:r>
      <w:r>
        <w:rPr/>
        <w:t xml:space="preserve"> est vivante, le passé est une arène de confrontation. Là où elle est absente, le passé devient objet de révérence, outil de propagande ou argument d’autorité.</w:t>
      </w:r>
    </w:p>
    <w:p>
      <w:pPr>
        <w:pStyle w:val="BodyText"/>
        <w:rPr/>
      </w:pPr>
      <w:r>
        <w:rPr/>
        <w:t>Des États-nations en guerre aux gouvernements populistes, des traditions religieuses institutionnalisées à certaines formes contemporaines de néo-conservatisme, les exemples abondent d’une mobilisation stratégique de l’histoire où une mémoire mythifiée sert à fermer le présent à toute transformation. Les archives, les monuments et les commémorations cessent alors d’être des supports de travail critique pour devenir des instruments de stabilisation symbolique.</w:t>
      </w:r>
    </w:p>
    <w:p>
      <w:pPr>
        <w:pStyle w:val="BodyText"/>
        <w:rPr/>
      </w:pPr>
      <w:r>
        <w:rPr/>
        <w:t>Mais cette monopolisation n’est pas toujours explicite : elle peut être douce, insidieuse, managériale. On la retrouve dans les politiques mémorielles contemporaines qui produisent des narrations clés en main, normées, aseptisées, conçues pour pacifier le dissensus et aligner les subjectivités sur un récit consensuel. Le passé y est alors administré comme un récit d’alignement, sous contrôle des formats, des sélections et des usages légitimes.</w:t>
      </w:r>
    </w:p>
    <w:p>
      <w:pPr>
        <w:pStyle w:val="BodyText"/>
        <w:rPr/>
      </w:pPr>
      <w:r>
        <w:rPr/>
        <w:t xml:space="preserve">Ce corollaire rappelle donc une exigence fondatrice : toute </w:t>
      </w:r>
      <w:r>
        <w:rPr>
          <w:i/>
          <w:iCs/>
        </w:rPr>
        <w:t>arcalité</w:t>
      </w:r>
      <w:r>
        <w:rPr/>
        <w:t xml:space="preserve"> légitime est plurielle. Elle doit pouvoir être réinterprétée sans que cela soit perçu comme une subversion. Elle doit pouvoir être contestée, recontextualisée, traversée par les conflits sans se déliter. C’est cette capacité à supporter le désaccord que l’</w:t>
      </w:r>
      <w:r>
        <w:rPr>
          <w:i/>
          <w:iCs/>
        </w:rPr>
        <w:t>archicration</w:t>
      </w:r>
      <w:r>
        <w:rPr/>
        <w:t xml:space="preserve"> doit garantir.</w:t>
      </w:r>
    </w:p>
    <w:p>
      <w:pPr>
        <w:pStyle w:val="BodyText"/>
        <w:rPr/>
      </w:pPr>
      <w:r>
        <w:rPr/>
        <w:t>En définitive, un régime n’est archicratique que si son rapport au passé est réversible, transmissible, disputable. Si l’histoire y devient ressource de domination, alors l’</w:t>
      </w:r>
      <w:r>
        <w:rPr>
          <w:i/>
          <w:iCs/>
        </w:rPr>
        <w:t>arcalité</w:t>
      </w:r>
      <w:r>
        <w:rPr/>
        <w:t xml:space="preserve"> s’est retournée contre elle-même. Elle n’ouvre plus l’avenir : elle l’écrase. Elle n’offre plus de cadre pour penser : elle interdit de penser autrement. Un ordre échoue à ce test lorsque le récit historique est univoque, sanctuarisé, imposé comme vérité indiscutable. Toute relecture tend alors à être suspectée de déloyauté. L’arcalité y devient clôture du passé et justification du présent, empêchant toute transmission vivante, critique et conflictuelle.</w:t>
      </w:r>
    </w:p>
    <w:p>
      <w:pPr>
        <w:pStyle w:val="Heading4"/>
        <w:numPr>
          <w:ilvl w:val="3"/>
          <w:numId w:val="2"/>
        </w:numPr>
        <w:rPr/>
      </w:pPr>
      <w:r>
        <w:rPr>
          <w:b/>
          <w:bCs/>
        </w:rPr>
        <w:t>Corollaire VI : La scène définie par l’héritage devient fermeture</w:t>
      </w:r>
    </w:p>
    <w:p>
      <w:pPr>
        <w:pStyle w:val="BodyText"/>
        <w:rPr/>
      </w:pPr>
      <w:r>
        <w:rPr/>
        <w:t>Il ne suffit pas qu’un ordre accepte la confrontation : encore faut-il que cette confrontation ne soit pas entièrement prédéfinie par les formes héritées. Car une scène, aussi ouverte en apparence soit-elle, peut être subrepticement configurée par l’</w:t>
      </w:r>
      <w:r>
        <w:rPr>
          <w:i/>
          <w:iCs/>
        </w:rPr>
        <w:t>arcalité</w:t>
      </w:r>
      <w:r>
        <w:rPr/>
        <w:t xml:space="preserve"> dominante, de telle manière que tout ce qui s’y joue soit déjà encadré, déjà canalisé, déjà absorbé, préfiguré. Lorsque le cadre de l’archicration est déterminé en amont par les formes héritées de l’ordre, alors le dissensus devient simulation, la conflictualité devient spectacle, et la contestation est neutralisée avant même de paraître.</w:t>
      </w:r>
    </w:p>
    <w:p>
      <w:pPr>
        <w:pStyle w:val="BodyText"/>
        <w:rPr/>
      </w:pPr>
      <w:r>
        <w:rPr/>
        <w:t xml:space="preserve">On rencontre ici une forme de préemption institutionnelle : un lieu est bien accordé au désaccord, mais ce lieu est assigné, ritualisé, domestiqué. La conflictualité devient alors un épisode cadré plutôt qu’un processus susceptible de reconfigurer la scène elle-même. C’est le débat encadré, la controverse organisée, la participation scénarisée — autant de formes de </w:t>
      </w:r>
      <w:r>
        <w:rPr>
          <w:i/>
          <w:iCs/>
        </w:rPr>
        <w:t>pseudo-archicration</w:t>
      </w:r>
      <w:r>
        <w:rPr/>
        <w:t xml:space="preserve"> qui reconduisent l’</w:t>
      </w:r>
      <w:r>
        <w:rPr>
          <w:i/>
          <w:iCs/>
        </w:rPr>
        <w:t>arcalité</w:t>
      </w:r>
      <w:r>
        <w:rPr/>
        <w:t xml:space="preserve"> sous les habits du dialogue. Comme l’a formulé Judith Butler dans </w:t>
      </w:r>
      <w:r>
        <w:rPr>
          <w:i/>
          <w:iCs/>
        </w:rPr>
        <w:t>Frames of War</w:t>
      </w:r>
      <w:r>
        <w:rPr/>
        <w:t xml:space="preserve"> (2009), les cadres institués définissent en amont les conditions de visibilité du conflit. Ce n’est pas la scène qui est neutre, mais son cadrage, son lexique et sa syntaxe de recevabilité.</w:t>
      </w:r>
    </w:p>
    <w:p>
      <w:pPr>
        <w:pStyle w:val="BodyText"/>
        <w:rPr/>
      </w:pPr>
      <w:r>
        <w:rPr/>
        <w:t>Cette fermeture scénique par l’héritage prend plusieurs formes :</w:t>
      </w:r>
    </w:p>
    <w:p>
      <w:pPr>
        <w:pStyle w:val="BodyText"/>
        <w:rPr/>
      </w:pPr>
      <w:r>
        <w:rPr/>
        <w:t xml:space="preserve">D’abord </w:t>
      </w:r>
      <w:r>
        <w:rPr>
          <w:i/>
          <w:iCs/>
        </w:rPr>
        <w:t>juridique</w:t>
      </w:r>
      <w:r>
        <w:rPr/>
        <w:t>, lorsque les modalités du dissensus sont verrouillées par des cadres légaux figés, des procédures non révisables, ou des coûts d’accès exorbitants. Ce n’est pas la voix qui est interdite, c’est l’accès au cadre de formulation et d’interpellation qui est alors barré.</w:t>
      </w:r>
    </w:p>
    <w:p>
      <w:pPr>
        <w:pStyle w:val="BodyText"/>
        <w:rPr/>
      </w:pPr>
      <w:r>
        <w:rPr/>
        <w:t xml:space="preserve">Ensuite </w:t>
      </w:r>
      <w:r>
        <w:rPr>
          <w:i/>
          <w:iCs/>
        </w:rPr>
        <w:t>discursive</w:t>
      </w:r>
      <w:r>
        <w:rPr/>
        <w:t>, lorsque le langage même du dissensus est formaté par les termes imposés par l’</w:t>
      </w:r>
      <w:r>
        <w:rPr>
          <w:i/>
          <w:iCs/>
        </w:rPr>
        <w:t>arcalité</w:t>
      </w:r>
      <w:r>
        <w:rPr/>
        <w:t>. L’on débat, certes, mais à l’intérieur d’un lexique saturé, d’un cadre narratif imposé, d’une dramaturgie préécrite. L’</w:t>
      </w:r>
      <w:r>
        <w:rPr>
          <w:i/>
          <w:iCs/>
        </w:rPr>
        <w:t>arcalité</w:t>
      </w:r>
      <w:r>
        <w:rPr/>
        <w:t xml:space="preserve"> devient alors grammaire de l’acceptable, rendant toute parole réellement divergente inaudible, illisible voire risible, car perçue hors champ.</w:t>
      </w:r>
    </w:p>
    <w:p>
      <w:pPr>
        <w:pStyle w:val="BodyText"/>
        <w:rPr/>
      </w:pPr>
      <w:r>
        <w:rPr/>
        <w:t xml:space="preserve">Enfin </w:t>
      </w:r>
      <w:r>
        <w:rPr>
          <w:i/>
          <w:iCs/>
        </w:rPr>
        <w:t>institutionnelle</w:t>
      </w:r>
      <w:r>
        <w:rPr/>
        <w:t xml:space="preserve">, lorsque les organes de contestation — conseils, assemblées, tribunaux, plateformes — sont eux-mêmes issus d’une </w:t>
      </w:r>
      <w:r>
        <w:rPr>
          <w:i/>
          <w:iCs/>
        </w:rPr>
        <w:t>arcalité</w:t>
      </w:r>
      <w:r>
        <w:rPr/>
        <w:t xml:space="preserve"> non interrogée. On feint l’ouverture, mais dans des dispositifs qui reconduisent les hiérarchies symboliques et les exclusions initiales. Le conflit y est accepté, mais seulement dans la forme qu’on lui a déjà assignée.</w:t>
      </w:r>
    </w:p>
    <w:p>
      <w:pPr>
        <w:pStyle w:val="BodyText"/>
        <w:rPr/>
      </w:pPr>
      <w:r>
        <w:rPr/>
        <w:t xml:space="preserve">Ainsi, même une </w:t>
      </w:r>
      <w:r>
        <w:rPr>
          <w:i/>
          <w:iCs/>
        </w:rPr>
        <w:t>archicration</w:t>
      </w:r>
      <w:r>
        <w:rPr/>
        <w:t xml:space="preserve"> active peut devenir contre-productive si elle est intégralement cadrée par une </w:t>
      </w:r>
      <w:r>
        <w:rPr>
          <w:i/>
          <w:iCs/>
        </w:rPr>
        <w:t>arcalité</w:t>
      </w:r>
      <w:r>
        <w:rPr/>
        <w:t xml:space="preserve"> dominante. L’institution du litige ne suffit pas ; il faut que cette institution elle-même soit ouverte à sa propre reconfiguration. Comme le souligne Ernesto Laclau (</w:t>
      </w:r>
      <w:r>
        <w:rPr>
          <w:i/>
          <w:iCs/>
        </w:rPr>
        <w:t>La raison populiste</w:t>
      </w:r>
      <w:r>
        <w:rPr/>
        <w:t>, 2005), toute hégémonie se fonde sur l’institutionnalisation d’un certain partage du sensible — c’est-à-dire sur l’invisibilisation de tout ce qui n’entre pas dans le cadre défini. Ce que l’on ne voit pas, ce que l’on n’entend pas, ce que l’on ne nomme pas : voilà ce que la scène figée interdit par omission.</w:t>
      </w:r>
    </w:p>
    <w:p>
      <w:pPr>
        <w:pStyle w:val="BodyText"/>
        <w:rPr/>
      </w:pPr>
      <w:r>
        <w:rPr/>
        <w:t xml:space="preserve">La véritable </w:t>
      </w:r>
      <w:r>
        <w:rPr>
          <w:i/>
          <w:iCs/>
        </w:rPr>
        <w:t>archicration</w:t>
      </w:r>
      <w:r>
        <w:rPr/>
        <w:t xml:space="preserve"> exige donc une plasticité scénique, une capacité à refonder les lieux mêmes du conflit, et non uniquement à distribuer des prises de parole à l’intérieur d’un théâtre déjà construit. Cela implique que l’</w:t>
      </w:r>
      <w:r>
        <w:rPr>
          <w:i/>
          <w:iCs/>
        </w:rPr>
        <w:t>arcalité</w:t>
      </w:r>
      <w:r>
        <w:rPr/>
        <w:t xml:space="preserve"> n’ait pas autorité sur les formes mêmes du formulable, qu’elle ne définisse pas a priori ce qu’est un litige recevable, ce qu’est une parole fondée, ce qu’est un interlocuteur légitime.</w:t>
      </w:r>
    </w:p>
    <w:p>
      <w:pPr>
        <w:pStyle w:val="BodyText"/>
        <w:rPr/>
      </w:pPr>
      <w:r>
        <w:rPr/>
        <w:t>Un exemple contemporain de cette dynamique est observable dans certaines consultations dites « citoyennes », où l’on simule l’ouverture démocratique tout en imposant les termes du débat, les formats d’intervention, les conclusions possibles. Le dissensus est mimé, absorbé, puis recyclé dans les logiques de l’institution. On n’écoute que ce qui est déjà attendu. L’archicration devient alors un rituel de compensation : elle donne l’apparence d’une régulation ouverte sans produire d’effets à la hauteur de ce qu’elle met en scène.</w:t>
      </w:r>
    </w:p>
    <w:p>
      <w:pPr>
        <w:pStyle w:val="BodyText"/>
        <w:rPr/>
      </w:pPr>
      <w:r>
        <w:rPr/>
        <w:t>C’est ici que l’</w:t>
      </w:r>
      <w:r>
        <w:rPr>
          <w:i/>
          <w:iCs/>
        </w:rPr>
        <w:t>archicratie</w:t>
      </w:r>
      <w:r>
        <w:rPr/>
        <w:t xml:space="preserve"> se distingue radicalement des régimes qui tolèrent le conflit sans l’instituer. Elle exige non seulement la présence d’une scène, mais la révision constante de ses formes. L’arène </w:t>
      </w:r>
      <w:r>
        <w:rPr>
          <w:i/>
          <w:iCs/>
        </w:rPr>
        <w:t>archicratique</w:t>
      </w:r>
      <w:r>
        <w:rPr/>
        <w:t xml:space="preserve"> ne peut être définie une fois pour toutes par héritage : elle doit être traversable, réouvrable, capable d’accueillir les formes de parole qui ne lui sont pas familières, voire hostiles. Sans cette exigence, l’</w:t>
      </w:r>
      <w:r>
        <w:rPr>
          <w:i/>
          <w:iCs/>
        </w:rPr>
        <w:t>archicration</w:t>
      </w:r>
      <w:r>
        <w:rPr/>
        <w:t xml:space="preserve"> devient façade, la tension se mue en décor, la contradiction est jouée, mais non écoutée. Et dès lors, le régime tout entier peut se prétendre régulé, alors qu’il est seulement stabilisé par exclusion.</w:t>
      </w:r>
    </w:p>
    <w:p>
      <w:pPr>
        <w:pStyle w:val="BodyText"/>
        <w:rPr/>
      </w:pPr>
      <w:r>
        <w:rPr/>
        <w:t xml:space="preserve">Le test d’archicraticité est donc ici redoutable : </w:t>
      </w:r>
      <w:r>
        <w:rPr>
          <w:i/>
          <w:iCs/>
        </w:rPr>
        <w:t>la scène est-elle réellement ouverte, ou seulement tolérante ?</w:t>
      </w:r>
      <w:r>
        <w:rPr/>
        <w:t xml:space="preserve"> </w:t>
      </w:r>
      <w:r>
        <w:rPr>
          <w:i/>
          <w:iCs/>
        </w:rPr>
        <w:t>Les formes de contestation sont-elles co-instituées, ou simplement autorisées ?</w:t>
      </w:r>
      <w:r>
        <w:rPr/>
        <w:t xml:space="preserve"> </w:t>
      </w:r>
      <w:r>
        <w:rPr>
          <w:i/>
          <w:iCs/>
        </w:rPr>
        <w:t>Peut-on contester les contours mêmes de la scène — ou est-ce là déjà une transgression ?</w:t>
      </w:r>
    </w:p>
    <w:p>
      <w:pPr>
        <w:pStyle w:val="BodyText"/>
        <w:rPr/>
      </w:pPr>
      <w:r>
        <w:rPr/>
        <w:t>À ces questions, une archicratie digne de ce nom ne peut répondre qu’en acceptant que les contours mêmes de sa scène demeurent révisables. Car une scène figée par l’arcalité devient incapable d’accueillir une transformation effective du conflit. Un ordre échoue à ce test lorsque les formes de contestation sont entièrement prédéfinies par les cadres hérités, rendant impossible la remise en cause des modalités mêmes du dissensus. La scène est ouverte en apparence, mais verrouillée dans sa grammaire, ses seuils, ses formats et ses interlocuteurs légitimes.</w:t>
      </w:r>
    </w:p>
    <w:p>
      <w:pPr>
        <w:pStyle w:val="Heading4"/>
        <w:numPr>
          <w:ilvl w:val="3"/>
          <w:numId w:val="2"/>
        </w:numPr>
        <w:rPr/>
      </w:pPr>
      <w:r>
        <w:rPr>
          <w:b/>
          <w:bCs/>
        </w:rPr>
        <w:t>Vers une grammaire d’épreuve, de tension et de vigilance</w:t>
      </w:r>
    </w:p>
    <w:p>
      <w:pPr>
        <w:pStyle w:val="BodyText"/>
        <w:rPr/>
      </w:pPr>
      <w:r>
        <w:rPr/>
        <w:t xml:space="preserve">Ce que révèlent, en leur ensemble, les six corollaires que nous venons d’exposer ne se résume pas en un faisceau d’avertissements doctrinaux. Ils composent, bien plus radicalement, la grammaire minimale de viabilité d’un </w:t>
      </w:r>
      <w:r>
        <w:rPr>
          <w:i/>
          <w:iCs/>
        </w:rPr>
        <w:t>régime archicratique</w:t>
      </w:r>
      <w:r>
        <w:rPr/>
        <w:t>. Chacun d’eux, pris isolément, désigne une pente, un risque, un seuil critique à ne pas franchir : l’</w:t>
      </w:r>
      <w:r>
        <w:rPr>
          <w:i/>
          <w:iCs/>
        </w:rPr>
        <w:t>arcalité</w:t>
      </w:r>
      <w:r>
        <w:rPr/>
        <w:t xml:space="preserve"> sans relecture devient injonction, la </w:t>
      </w:r>
      <w:r>
        <w:rPr>
          <w:i/>
          <w:iCs/>
        </w:rPr>
        <w:t>cratialité</w:t>
      </w:r>
      <w:r>
        <w:rPr/>
        <w:t xml:space="preserve"> sans épreuve devient empêchement, l’</w:t>
      </w:r>
      <w:r>
        <w:rPr>
          <w:i/>
          <w:iCs/>
        </w:rPr>
        <w:t>archicration</w:t>
      </w:r>
      <w:r>
        <w:rPr/>
        <w:t xml:space="preserve"> sans seuil devient simulacre, la critique ritualisée devient neutralisation, l’histoire monopolisée devient instrument de légitimation et la situation héritée devient fermeture préemptive. Mais pris ensemble, ces corollaires configurent une exigence active, une vigilance transversale, un protocole opératoire pour toute entité prétendant au statut d’ordre archicratique.</w:t>
      </w:r>
    </w:p>
    <w:p>
      <w:pPr>
        <w:pStyle w:val="BodyText"/>
        <w:rPr/>
      </w:pPr>
      <w:r>
        <w:rPr/>
        <w:t>Il ne s’agit pas, ici, de multiplier des conditions normatives abstraites, mais de poser les critères concrets d’une configuration viable, testable, traversable, non falsifiée par son propre dispositif. En d’autres termes, chaque corollaire constitue une faille potentielle, une zone de capture, un point d’achoppement du paradigme — là où l’un des trois pôles fondamentaux (</w:t>
      </w:r>
      <w:r>
        <w:rPr>
          <w:i/>
          <w:iCs/>
        </w:rPr>
        <w:t>arcalité</w:t>
      </w:r>
      <w:r>
        <w:rPr/>
        <w:t xml:space="preserve">, </w:t>
      </w:r>
      <w:r>
        <w:rPr>
          <w:i/>
          <w:iCs/>
        </w:rPr>
        <w:t>cratialité</w:t>
      </w:r>
      <w:r>
        <w:rPr/>
        <w:t xml:space="preserve">, </w:t>
      </w:r>
      <w:r>
        <w:rPr>
          <w:i/>
          <w:iCs/>
        </w:rPr>
        <w:t>archicration</w:t>
      </w:r>
      <w:r>
        <w:rPr/>
        <w:t>) pourrait prendre le pas sur les autres, subvertir la tenségrité, dérober à la structure sa capacité de remise en tension.</w:t>
      </w:r>
    </w:p>
    <w:p>
      <w:pPr>
        <w:pStyle w:val="BodyText"/>
        <w:rPr/>
      </w:pPr>
      <w:r>
        <w:rPr/>
        <w:t>La force du paradigme archicratique ne réside pas dans une stabilité formelle, mais dans sa capacité à se réajuster par mise en tension, à demeurer viable dans l’instabilité et à se recomposer à travers les différends qu’il rend possibles. Il n’est pas un modèle d’équilibre idéal, mais une forme de viabilité dynamique, constamment remise en jeu par les conflits qu’il institue.</w:t>
      </w:r>
    </w:p>
    <w:p>
      <w:pPr>
        <w:pStyle w:val="BodyText"/>
        <w:rPr/>
      </w:pPr>
      <w:r>
        <w:rPr/>
        <w:t>Ces six corollaires ne valent donc pas simplement comme garde-fous : ils constituent les principaux révélateurs internes du régime archicratique, les points de retournement où la structure révèle sa santé critique ou son dérèglement fonctionnel. Un régime n’est pas archicratique par proclamation : il l’est à condition que chacun de ces corollaires puisse être mis en test, mis en visibilité, mis en épreuve.</w:t>
      </w:r>
    </w:p>
    <w:p>
      <w:pPr>
        <w:pStyle w:val="BodyText"/>
        <w:rPr/>
      </w:pPr>
      <w:r>
        <w:rPr/>
        <w:t>C’est en ce sens que l’archicratie peut être dite falsifiable : non dans un sens strictement poppérien, mais comme configuration exposée à la possibilité de sa propre mise en défaut dans des scènes situées d’épreuve et de contestation. Car ce que ces corollaires mettent au jour, c’est l’impossibilité pour le paradigme archicratique de fonctionner sans tension critique. Toute tentative de clôture, de saturation, de captation ou d’auto-immunisation constitue la signature d’un effondrement de son principe même.</w:t>
      </w:r>
    </w:p>
    <w:p>
      <w:pPr>
        <w:pStyle w:val="BodyText"/>
        <w:rPr/>
      </w:pPr>
      <w:r>
        <w:rPr/>
        <w:t xml:space="preserve">Les corollaires peuvent alors être formulés de manière resserrée. Une </w:t>
      </w:r>
      <w:r>
        <w:rPr>
          <w:i/>
          <w:iCs/>
        </w:rPr>
        <w:t>arcalité</w:t>
      </w:r>
      <w:r>
        <w:rPr/>
        <w:t xml:space="preserve"> non revisitée n’est pas neutre : elle est injonctive. Une </w:t>
      </w:r>
      <w:r>
        <w:rPr>
          <w:i/>
          <w:iCs/>
        </w:rPr>
        <w:t>cratialité</w:t>
      </w:r>
      <w:r>
        <w:rPr/>
        <w:t xml:space="preserve"> non éprouvée n’est pas efficace : elle est mutilante. Ce qui se prétend </w:t>
      </w:r>
      <w:r>
        <w:rPr>
          <w:i/>
          <w:iCs/>
        </w:rPr>
        <w:t>archicration</w:t>
      </w:r>
      <w:r>
        <w:rPr/>
        <w:t xml:space="preserve"> sans scène formée n’est pas ouvert : c’est un dispositif impraticable. Une critique ritualisée n’est pas dissensuelle : elle est décorative. Une histoire monopolisée n’est pas mémoire : elle est légitimation autoritaire. Un dispositif verrouillé par héritage n’est pas conflictuel : c’est un verrou symbolique.</w:t>
      </w:r>
    </w:p>
    <w:p>
      <w:pPr>
        <w:pStyle w:val="BodyText"/>
        <w:rPr/>
      </w:pPr>
      <w:r>
        <w:rPr/>
        <w:t>En dernière instance, ces corollaires dessinent une morphogenèse critique du politique. Ils permettent de détecter les mutations, les pathologies, les points de durcissement du régime — et d’en extraire les conditions d’un réagencement toujours possible. Ils empêchent surtout de reconduire l’archicratie en doctrine close, en la maintenant dans une fonction de vigilance structurée.</w:t>
      </w:r>
    </w:p>
    <w:p>
      <w:pPr>
        <w:pStyle w:val="BodyText"/>
        <w:rPr/>
      </w:pPr>
      <w:r>
        <w:rPr/>
        <w:t>L’archicratie ne se définit donc ni par l’équilibre parfait ni par la clôture des controverses. Elle se soutient dans la capacité à exposer ses tensions, à traiter ses différends et à demeurer révisable sans perdre toute consistance. C’est dans cette exigence de traversée critique et de viabilité sans garantie que réside la portée épistémique et politique du paradigme.</w:t>
      </w:r>
    </w:p>
    <w:p>
      <w:pPr>
        <w:pStyle w:val="BodyText"/>
        <w:rPr/>
      </w:pPr>
      <w:r>
        <w:rPr/>
        <w:t>La traversée accomplie dans cette section permet désormais de formuler avec davantage de netteté ce qui, jusqu’ici, ne se laissait entrevoir qu’à l’état dispersé dans les doctrines, les scènes et les diagnostics rencontrés. L’archicratie n’apparaît plus seulement comme une hypothèse interprétative commode, ni comme une simple reformulation des tensions déjà connues du politique ; elle prend la forme plus exigeante d’un paradigme de lisibilité et d’épreuve, capable de rapporter à une même structure les conditions sous lesquelles un ordre peut durer, agir et se laisser contester sans se dissoudre ni se pétrifier. Ce que cette section a donc cherché à établir, ce n’est pas la supériorité abstraite d’un vocabulaire nouveau, mais la nécessité d’une grammaire apte à penser ensemble ce que les grandes pensées de la régulation, le plus souvent, dissocient, hiérarchisent ou laissent s’absorber l’un dans l’autre.</w:t>
      </w:r>
    </w:p>
    <w:p>
      <w:pPr>
        <w:pStyle w:val="BodyText"/>
        <w:rPr/>
      </w:pPr>
      <w:r>
        <w:rPr/>
        <w:t>De ce point de vue, le triptyque arcalité, cratialité, archicration ne vaut ni comme taxinomie close, ni comme schème doctrinal à imposer aux réalités qu’il prétend éclairer. Il vaut comme structure minimale d’intelligibilité, c’est-à-dire comme opérateur permettant de saisir qu’aucun régime n’est viable s’il ne parvient, d’une manière ou d’une autre, à articuler une mémoire instituante, une capacité d’effectuation et une scène de mise à l’épreuve. Dès que l’une de ces dimensions prétend valoir pour le tout, le régime commence à dériver : l’héritage se fige en injonction, la puissance se ferme en empêchement, la scène se vide en simulacre. L’intérêt du paradigme archicratique est précisément de rendre ces dérives repérables sans postuler pour autant l’existence d’une formule idéale de leur équilibre. Il ne promet pas une harmonie ; il rend pensable une tenue sous tension.</w:t>
      </w:r>
    </w:p>
    <w:p>
      <w:pPr>
        <w:pStyle w:val="BodyText"/>
        <w:rPr/>
      </w:pPr>
      <w:r>
        <w:rPr/>
        <w:t>C’est pourquoi la tenségrité, ici mobilisée avec précaution, n’intervient pas comme image décorative, mais comme opérateur de rigueur. Elle permet de penser que la viabilité d’un ordre n’est pas celle d’un édifice immobile, mais celle d’une structure qui ne tient qu’en supportant des contraintes hétérogènes, en absorbant des variations, en laissant jouer des reprises. Sous cet angle, la régulation n’est jamais donnée une fois pour toutes ; elle est toujours l’affaire d’un réajustement, d’une vigilance, d’une exposition renouvelée des prises qui composent un monde commun. L’archicratie ne nomme donc pas un état de perfection politique ; elle désigne la condition sous laquelle un régime peut demeurer transformable sans perdre toute consistance, et consistant sans devenir indisponible à sa propre critique.</w:t>
      </w:r>
    </w:p>
    <w:p>
      <w:pPr>
        <w:pStyle w:val="BodyText"/>
        <w:rPr/>
      </w:pPr>
      <w:r>
        <w:rPr/>
        <w:t>Les six corollaires dégagés plus haut précisent alors la portée concrète de cette proposition. Ils montrent que le paradigme ne vaut qu’à la condition d’accepter sa propre vulnérabilité : il n’y a d’archicratie qu’exposée à la possibilité de son échec, c’est-à-dire à la possibilité que l’un de ses pôles absorbe les autres, que la tension cesse d’être soutenue, que la scène soit neutralisée ou que la mémoire soit instrumentalisée. En ce sens, la force du paradigme tient moins à une prétention totalisante qu’à sa capacité d’organiser une vigilance réglée sur les formes de capture, de rigidification et d’auto-immunisation qui menacent toute structure régulatrice. Il ne dit pas ce qu’un ordre doit être en général ; il aide à discerner ce qui, dans un ordre donné, commence à ne plus pouvoir être repris, contesté ou reconfiguré.</w:t>
      </w:r>
    </w:p>
    <w:p>
      <w:pPr>
        <w:pStyle w:val="BodyText"/>
        <w:rPr/>
      </w:pPr>
      <w:r>
        <w:rPr/>
        <w:t>Dès lors, l’enjeu n’est pas spéculatif. Si cette section a atteint son but, elle laisse apparaître que l’archicratie ne pourra être tenue pour recevable qu’à condition d’entrer dans l’épreuve des cas, des dispositifs, des trajectoires historiques et des montages institutionnels effectifs. Il ne suffira pas qu’elle soit conceptuellement cohérente ; il faudra encore qu’elle permette de mieux lire des configurations concrètes, d’identifier leurs points de bascule, de comparer leurs formes de viabilité, et de faire apparaître, avec plus de précision qu’auparavant, les moments où un régime se ferme, se dérègle ou se recompose. C’est seulement à ce prix qu’un paradigme cesse d’être une architecture intellectuelle séduisante pour devenir un véritable instrument de discernement.</w:t>
      </w:r>
    </w:p>
    <w:p>
      <w:pPr>
        <w:pStyle w:val="BodyText"/>
        <w:rPr/>
      </w:pPr>
      <w:r>
        <w:rPr/>
        <w:t>Ainsi, la clausule de 3.8 ne ferme pas la réflexion ; elle en déplace l’exigence. Elle marque le point où l’archicratie cesse d’être seulement déduite des pensées traversées pour devoir répondre de sa propre puissance d’éclairage. Ce déplacement est décisif : il signifie que le paradigme n’a désormais plus pour tâche première de se dire, mais de se mesurer. Non de s’abriter dans la généralité du concept, mais d’affronter la rugosité des mondes historiques où mémoire, puissance et scène se nouent, se contredisent, se bloquent ou s’ajustent. C’est dans cet affrontement seulement qu’il pourra être établi si l’archicratie constitue bien une grammaire robuste de la co-viabilité, ou si elle doit encore être corrigée par ce qu’elle prétend rendre lisible.</w:t>
      </w:r>
    </w:p>
    <w:p>
      <w:pPr>
        <w:pStyle w:val="BodyText"/>
        <w:rPr/>
      </w:pPr>
      <w:r>
        <w:rPr/>
        <w:t>Sous cette réserve — qui est aussi sa condition de probité —, l’hypothèse archicratique peut désormais être tenue pour suffisamment formée pour affronter la suite. Non comme vérité acquise, mais comme instrument de lecture sous contrainte ; non comme doctrine close, mais comme structure révisable d’intelligibilité ; non comme promesse d’ordre, mais comme exigence de composition entre ce qui hérite, ce qui agit et ce qui s’expose à l’épreuve. La suite du travail devra donc montrer, en situation, ce que vaut réellement cette promesse de discernement. Car une pensée de la régulation n’atteint sa pleine légitimité qu’au moment où elle s’éprouve dans les mondes qu’elle prétend éclairer.</w:t>
      </w:r>
    </w:p>
    <w:p>
      <w:pPr>
        <w:pStyle w:val="Heading2"/>
        <w:numPr>
          <w:ilvl w:val="1"/>
          <w:numId w:val="2"/>
        </w:numPr>
        <w:rPr/>
      </w:pPr>
      <w:r>
        <w:rPr>
          <w:b/>
          <w:bCs/>
        </w:rPr>
        <w:t>Conclusion du chapitre 3 — Pour une grammaire critique des régimes régulateurs : l’épreuve paradigmatique de l’archicration</w:t>
      </w:r>
    </w:p>
    <w:p>
      <w:pPr>
        <w:pStyle w:val="BodyText"/>
        <w:rPr/>
      </w:pPr>
      <w:r>
        <w:rPr/>
        <w:t>Ce chapitre n’avait pas pour fin d’ajouter un concept de plus à l’arsenal des théories du politique, mais de dégager les conditions de lisibilité d’un régime de régulation encore insuffisamment thématisé comme tel. À travers l’élucidation de l’arcalité, de la cratialité et de l’archicration, il ne s’agissait pas de proposer une doctrine nouvelle, mais de rendre intelligible une structure de co-viabilité sans laquelle aucune tenue politique ne peut durablement se soutenir.</w:t>
      </w:r>
    </w:p>
    <w:p>
      <w:pPr>
        <w:pStyle w:val="BodyText"/>
        <w:rPr/>
      </w:pPr>
      <w:r>
        <w:rPr/>
        <w:t>Ce qui se trouve désormais acquis, ce n’est pas un modèle idéal, mais une grammaire. Une grammaire de tensions, de co-contraintes et de reprises, qui permet de reconnaître ce qui, dans un ordre donné, relève encore d’un régime archicratique et ce qui, déjà, s’en écarte. L’archicratie ne désigne donc pas une forme politique parmi d’autres, mais une condition de viabilité régulatrice : celle par laquelle un ordre peut durer sans se figer, agir sans s’auto-immuniser, et se contester sans se dissoudre.</w:t>
      </w:r>
    </w:p>
    <w:p>
      <w:pPr>
        <w:pStyle w:val="BodyText"/>
        <w:rPr/>
      </w:pPr>
      <w:r>
        <w:rPr/>
        <w:t>Le gain propre de ce chapitre tient moins à l’invention d’un vocabulaire qu’à la stabilisation d’un critère. En articulant arcalité, cratialité et archicration dans une tenségrité évolutive, il devient possible de distinguer ce qui relève d’une régulation vivante de ce qui procède déjà de la clôture, de la neutralisation ou de la capture. Il permet de discerner comment il tient, où il se dérègle, et selon quelles modalités il peut encore être repris.</w:t>
      </w:r>
    </w:p>
    <w:p>
      <w:pPr>
        <w:pStyle w:val="BodyText"/>
        <w:rPr/>
      </w:pPr>
      <w:r>
        <w:rPr/>
        <w:t>Une telle clarification n’épuise nullement la question du politique ; elle en déplace plutôt l’exigence. Ce chapitre ne prétend ni fournir une théorie exhaustive du pouvoir, ni clore la typologie des régimes. Il n’avait pas davantage pour objet d’évaluer empiriquement des configurations historiques ou contemporaines.</w:t>
      </w:r>
    </w:p>
    <w:p>
      <w:pPr>
        <w:pStyle w:val="BodyText"/>
        <w:rPr/>
      </w:pPr>
      <w:r>
        <w:rPr/>
        <w:t>Il faut même préciser davantage la portée de ce résultat. L’archicratie ne se présente pas comme la vérité ultime des philosophies politiques, mais comme un opérateur critique de discernement. Elle ne vient ni annuler les cadres antérieurs, ni les reléguer à l’erreur, mais éprouver ce qu’ils laissent dans l’ombre lorsqu’ils surinvestissent un registre unique de la régulation. Sa légitimité ne tient donc pas à une prétention hégémonique ; elle tient à sa capacité de produire, cas par cas, des distinctions plus fines entre ce qui fonde, ce qui agit et ce qui se laisse reprendre.</w:t>
      </w:r>
    </w:p>
    <w:p>
      <w:pPr>
        <w:pStyle w:val="BodyText"/>
        <w:rPr/>
      </w:pPr>
      <w:r>
        <w:rPr/>
        <w:t>Ce qu’il établit, en revanche, ce sont les conditions minimales d’une épreuve possible : les seuils, les tensions et les scènes à partir desquels un ordre pourra être interrogé dans sa capacité à demeurer transformable.</w:t>
      </w:r>
    </w:p>
    <w:p>
      <w:pPr>
        <w:pStyle w:val="BodyText"/>
        <w:spacing w:lineRule="auto" w:line="276" w:before="0" w:after="140"/>
        <w:rPr/>
      </w:pPr>
      <w:r>
        <w:rPr/>
        <w:t>Ce qui a été stabilisé ici appelle désormais autre chose qu’une simple reconduction théorique. Non pour être confirmé de l’extérieur, mais pour être exposé à ses propres exigences. C’est à ce point que l’élaboration conceptuelle rencontre sa limite féconde, et que commence la nécessité d’une mise à l’épreuve plus directe dans les configurations concrètes où se jouent, se nouent et se dénouent les tensions constitutives d’un monde commun.</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65"/>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29915</TotalTime>
  <Application>LibreOffice/26.2.1.2$MacOSX_AARCH64 LibreOffice_project/8399f6259d8c87f40e7255cdb3c9b958f5e08948</Application>
  <AppVersion>15.0000</AppVersion>
  <Pages>77</Pages>
  <Words>42612</Words>
  <Characters>246579</Characters>
  <CharactersWithSpaces>288899</CharactersWithSpaces>
  <Paragraphs>537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2026-04-23T08:33:00Z</dcterms:created>
  <dc:creator/>
  <dc:description/>
  <dc:language>fr-FR</dc:language>
  <cp:lastModifiedBy/>
  <dcterms:modified xsi:type="dcterms:W3CDTF">2026-04-23T11:06:49Z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