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spacing w:before="240" w:after="120"/>
        <w:rPr/>
      </w:pPr>
      <w:r>
        <w:rPr/>
        <w:t>Chapitre 2 — Archéogenèse des régimes de co-viabilité</w:t>
      </w:r>
    </w:p>
    <w:p>
      <w:pPr>
        <w:pStyle w:val="BodyText"/>
        <w:rPr/>
      </w:pPr>
      <w:r>
        <w:rPr/>
        <w:t>À ce stade de notre essai, l’archicratie a été définie comme une structure dynamique de co-viabilité tensionnelle articulant trois pôles fondamentaux : l’arcalité, la cratialité et l’archicration. Le chapitre 1 en a établi la portée heuristique, herméneutique et politique. Le présent chapitre en déplace désormais le centre de gravité : de la formalisation conceptuelle vers l’archéologie historique, de l’épistémologique vers l’empirique de longue durée.</w:t>
      </w:r>
    </w:p>
    <w:p>
      <w:pPr>
        <w:pStyle w:val="BodyText"/>
        <w:rPr/>
      </w:pPr>
      <w:r>
        <w:rPr/>
        <w:t>Car bien avant de gouverner, les sociétés humaines ont dû se réguler. Avant l’État, avant le code, avant la loi, elles ont élaboré des dispositifs symboliques, rituels, techniques, narratifs ou scripturaux capables de rendre viable la co-présence, de différer la violence, d’orienter les conduites et de stabiliser des formes de vie communes. L’hypothèse directrice de ce chapitre est la suivante : les sociétés humaines apparaissent d’abord, pour l’analyse, comme des collectifs régulateurs.</w:t>
      </w:r>
    </w:p>
    <w:p>
      <w:pPr>
        <w:pStyle w:val="BodyText"/>
        <w:rPr/>
      </w:pPr>
      <w:r>
        <w:rPr/>
        <w:t>Il s’agit dès lors d’entreprendre une archéologie comparée des régimes de co-viabilité. Non pour reconstruire une histoire linéaire du pouvoir, ni pour projeter rétrospectivement l’archicratie sur tout le passé humain, mais pour repérer, dans des contextes historiques et culturels hétérogènes, les formes par lesquelles les sociétés ont institué, relayé, différé ou reconfiguré leurs dispositifs de régulation. La typologie qui suit n’a donc pas pour fonction d’ordonner des stades de développement, mais de rendre intelligibles des configurations morphologiques distinctes propres à éprouver la fécondité du paradigme archicratique.</w:t>
      </w:r>
    </w:p>
    <w:p>
      <w:pPr>
        <w:pStyle w:val="Heading2"/>
        <w:numPr>
          <w:ilvl w:val="1"/>
          <w:numId w:val="2"/>
        </w:numPr>
        <w:rPr/>
      </w:pPr>
      <w:r>
        <w:rPr>
          <w:b/>
          <w:bCs/>
        </w:rPr>
        <w:t>2.1 — Enjeux scientifiques et méthodologiques</w:t>
      </w:r>
    </w:p>
    <w:p>
      <w:pPr>
        <w:pStyle w:val="BodyText"/>
        <w:rPr/>
      </w:pPr>
      <w:r>
        <w:rPr/>
        <w:t>Toute théorie générale de la régulation sociale se heurte à un double impératif méthodologique : éviter les illusions de linéarité ou de progrès inhérentes aux schémas évolutionnistes, sans pour autant sombrer dans une contingence descriptive qui dissoudrait la conceptualisation dans la pluralité des cas. Le présent chapitre engage donc un geste scientifique précis : celui d’une archéologie comparée des méta-régimes régulateurs, conduite à la croisée de plusieurs traditions disciplinaires, mais orientée par une visée historique, généalogique et morphologique spécifique.</w:t>
      </w:r>
    </w:p>
    <w:p>
      <w:pPr>
        <w:pStyle w:val="BodyText"/>
        <w:rPr/>
      </w:pPr>
      <w:r>
        <w:rPr/>
        <w:t>Toutes les sociétés humaines s’inscrivent dans un environnement physique structurant. Reliefs, climats, ressources, latitudes, saisons, humidité de l’air, propriétés de la matière : rien de ce qui rend le monde habitable ne saurait être pensé hors des régularités géophysico-chimiques du milieu. Mais ces contraintes ne constituent pas encore des régimes archicratiques. Les morphologies du terrain, les températures saisonnières, les pressions atmosphériques ou les rythmes hydrologiques imposent des conditions de viabilité, sans pour autant définir des formes instituées de co-viabilité. Le gel n’exclut pas : il empêche. Le fleuve ne sélectionne pas : il canalise. La pluie ne différencie pas : elle affecte indistinctement. Ce sont des conditions d’habitation, non des procédures de légitimation.</w:t>
      </w:r>
    </w:p>
    <w:p>
      <w:pPr>
        <w:pStyle w:val="BodyText"/>
        <w:rPr/>
      </w:pPr>
      <w:r>
        <w:rPr/>
        <w:t>Un régime archicratique commence là où une contrainte devient forme différenciée, code de distinction, cadre de régulation ou vecteur d’obligation. Il ne suffit pas qu’une ressource soit rare ou qu’un terrain soit hostile : encore faut-il que cette rareté ou cette hostilité donne lieu à une organisation symbolique, à une hiérarchisation des usages ou à une sélection normative des comportements. Tant que la pression du milieu n’est pas transformée en règle ou en dispositif, elle ne relève pas d’une archicration.</w:t>
      </w:r>
    </w:p>
    <w:p>
      <w:pPr>
        <w:pStyle w:val="BodyText"/>
        <w:rPr/>
      </w:pPr>
      <w:r>
        <w:rPr/>
        <w:t>Ainsi, la rareté de l’eau devient politique lorsqu’elle est administrée selon des protocoles hiérarchiques (puits, rituels, affectations). Le relief devient régime lorsqu’il est intégré dans une topographie sacrée (hauteurs interdites, vallées cérémonielles). La saison devient norme lorsqu’elle prescrit des interdits, ordonne des festivités ou cadence le calendrier rituel.</w:t>
      </w:r>
    </w:p>
    <w:p>
      <w:pPr>
        <w:pStyle w:val="BodyText"/>
        <w:rPr/>
      </w:pPr>
      <w:r>
        <w:rPr/>
        <w:t>Toute archicration suppose donc un travail d’institution sur le donné naturel : elle ne résulte pas d’une nécessité brute, mais d’un processus par lequel une contrainte est convertie en norme. Ce chapitre ne portera donc pas sur les déterminations environnementales comme telles, mais sur les dispositifs symboliques, techniques, narratifs ou rituels par lesquels les sociétés humaines en ont fait un ordre, une grille, une évidence codifiée.</w:t>
      </w:r>
    </w:p>
    <w:p>
      <w:pPr>
        <w:pStyle w:val="BodyText"/>
        <w:rPr/>
      </w:pPr>
      <w:r>
        <w:rPr/>
        <w:t>D’un point de vue méthodologique, il ne s’agira ni de produire un récit historique continu, ni de classer les formes sociales selon un degré de complexité croissante, mais de repérer des invariants régulateurs structurants à partir d’exemples situés, de configurations morphologiques et de dispositifs incarnés. Il s’agit, au sens foucaldien, d’un geste archéologique : faire émerger, à travers les strates historiques, les systèmes symboliques, les logiques techniques et les formes de viabilisation collective, les conditions de possibilité des méta-régimes régulateurs.</w:t>
      </w:r>
    </w:p>
    <w:p>
      <w:pPr>
        <w:pStyle w:val="BodyText"/>
        <w:rPr/>
      </w:pPr>
      <w:r>
        <w:rPr/>
        <w:t>Cette archéologie s’appuiera sur une méthodologie comparatiste de la régulation, consistant à confronter ses formes dans des contextes culturels, technologiques, symboliques et politiques radicalement hétérogènes, afin de mettre en évidence des structures de viabilisation partiellement isomorphes. Ainsi, une cérémonie funéraire paléolithique, une règle canonique médiévale ou une interface numérique de feedback comportemental, bien qu’historiquement discontinues, peuvent être interrogées selon les mêmes axes : quelle arcalité est mobilisée, quelle cratialité opère, quelle archicration assure la co-viabilité ?</w:t>
      </w:r>
    </w:p>
    <w:p>
      <w:pPr>
        <w:pStyle w:val="BodyText"/>
        <w:rPr/>
      </w:pPr>
      <w:r>
        <w:rPr/>
        <w:t>Cette méthode comparée implique un positionnement critique net contre trois réductions majeures : les lectures évolutionnistes linéaires, qui projettent une trajectoire nécessaire du mythe vers la raison, du rituel vers la loi et du sacré vers l’État rationnel ; les approches étatocentrées, qui identifient abusivement la régulation sociale à la seule souveraineté institutionnelle ; les analyses strictement économicistes, qui ramènent les scènes régulatrices à des fonctions d’allocation ou de maximisation. Dans chacun de ces cas, ce sont des dimensions décisives de la co-viabilité — symboliques, rituelles, affectives, techniques ou narratives — qui se trouvent invisibilisées.</w:t>
      </w:r>
    </w:p>
    <w:p>
      <w:pPr>
        <w:pStyle w:val="BodyText"/>
        <w:rPr/>
      </w:pPr>
      <w:r>
        <w:rPr/>
        <w:t>L’enjeu est triple : détecter des formes historiques de régulation irréductibles au seul pouvoir ou à la seule loi ; les comparer à travers des contextes hétérogènes en les relisant selon le triptyque archicratique ; puis modéliser les invariants morpho-régulateurs qui rendent possible la co-viabilité d’une société donnée.</w:t>
      </w:r>
    </w:p>
    <w:p>
      <w:pPr>
        <w:pStyle w:val="BodyText"/>
        <w:rPr/>
      </w:pPr>
      <w:r>
        <w:rPr/>
        <w:t>Une précaution s’impose cependant. La méthode comparatiste ici mobilisée ne doit pas être comprise comme le droit de relire indéfiniment tout matériau historique à travers la seule triade archicratique. Son usage n’est justifié que lorsqu’il met au jour un écart de lisibilité réel : dissociation entre principe de recevabilité et opérateurs effectifs, tension entre effectuation et scène d’épreuve, ou déplacement silencieux de la contestabilité hors des formes manifestes de l’ordre. Là où de telles distinctions ne produisent aucun surcroît de discernement, la typologie doit s’effacer devant des descriptions plus fines, plus locales ou plus adéquates à la texture propre du cas. Une grammaire comparative robuste ne vaut pas par sa capacité d’absorption, mais par sa retenue discriminante.</w:t>
      </w:r>
    </w:p>
    <w:p>
      <w:pPr>
        <w:pStyle w:val="BodyText"/>
        <w:rPr/>
      </w:pPr>
      <w:r>
        <w:rPr/>
        <w:t>Cette retenue doit être entendue au sens fort. Elle exclut notamment trois dérives : la projection rétrospective d’un vocabulaire tardif sur des sociétés qui n’en fournissent pas les médiations suffisantes ; la reconstruction spéculative de scènes ou de différenciations que le matériau disponible ne permet pas d’attester ; enfin, l’illusion selon laquelle toute forme de coordination, de ritualité ou d’ajustement devrait être immédiatement élevée au rang de régime archicratique. Le comparatisme n’a donc de validité qu’à la condition de distinguer ce qui est effectivement reconstruit, ce qui demeure seulement plausible, et ce qui doit rester hors de portée de la triade. Il ne s’agit ni d’exposer une histoire totalisante des sociétés humaines, ni d’additionner des cas, mais de poser les conditions d’une typologie opératoire de méta-régimes régulateurs.</w:t>
      </w:r>
    </w:p>
    <w:p>
      <w:pPr>
        <w:pStyle w:val="Heading2"/>
        <w:numPr>
          <w:ilvl w:val="1"/>
          <w:numId w:val="2"/>
        </w:numPr>
        <w:rPr/>
      </w:pPr>
      <w:r>
        <w:rPr>
          <w:b/>
          <w:bCs/>
        </w:rPr>
        <w:t>2.2 — Archét</w:t>
      </w:r>
      <w:r>
        <w:rPr/>
        <w:t>ypologie des méta-régimes archicratiques</w:t>
      </w:r>
    </w:p>
    <w:p>
      <w:pPr>
        <w:pStyle w:val="BodyText"/>
        <w:rPr/>
      </w:pPr>
      <w:r>
        <w:rPr/>
        <w:t>À partir de là, les méta-régimes archicratiques ne doivent pas être compris comme des stades successifs, mais comme des configurations différenciées, récurrentes, concurrentes et combinables de la co-viabilité. Il ne s’agit donc pas de reconstruire une chronologie des formes politiques, mais de dégager une typologie morphologique des modes d’agencement entre arcalité, cratialité et archicration.</w:t>
      </w:r>
    </w:p>
    <w:p>
      <w:pPr>
        <w:pStyle w:val="BodyText"/>
        <w:rPr/>
      </w:pPr>
      <w:r>
        <w:rPr/>
        <w:t>Nous proposons ici une typologie de douze méta-régimes archicratiques, prolongée par un treizième plan différentiel-hybride consacré aux compositions instables, mixtes, saisonnières ou composites des régimes. Ces douze formes peuvent être distinguées comme suit :</w:t>
      </w:r>
    </w:p>
    <w:p>
      <w:pPr>
        <w:pStyle w:val="BodyText"/>
        <w:numPr>
          <w:ilvl w:val="0"/>
          <w:numId w:val="3"/>
        </w:numPr>
        <w:rPr/>
      </w:pPr>
      <w:r>
        <w:rPr/>
        <w:t>méta-régime archicratique proto-symbolique, caractéristique des sociétés paléolithiques ou dites « à mémoire vive », où la co-viabilité repose sur l’incorporation rituelle, la mémoire affective et la structuration mimétique des appartenances ;</w:t>
      </w:r>
    </w:p>
    <w:p>
      <w:pPr>
        <w:pStyle w:val="BodyText"/>
        <w:numPr>
          <w:ilvl w:val="0"/>
          <w:numId w:val="3"/>
        </w:numPr>
        <w:rPr/>
      </w:pPr>
      <w:r>
        <w:rPr/>
        <w:t>méta-régime archicratique sacrale non étatique, propre aux sociétés religieuses ou théocratiques, dans lesquelles l’invisible structure le visible et où l’autorité se différencie radicalement de la souveraineté ;</w:t>
      </w:r>
    </w:p>
    <w:p>
      <w:pPr>
        <w:pStyle w:val="BodyText"/>
        <w:numPr>
          <w:ilvl w:val="0"/>
          <w:numId w:val="3"/>
        </w:numPr>
        <w:rPr/>
      </w:pPr>
      <w:r>
        <w:rPr/>
        <w:t>méta-régime archicratique techno-logistique, fondé sur l’idée de mégamachine, dans laquelle la coordination impersonnelle précède le commandement et où les flux prennent le pas sur les figures ;</w:t>
      </w:r>
    </w:p>
    <w:p>
      <w:pPr>
        <w:pStyle w:val="BodyText"/>
        <w:numPr>
          <w:ilvl w:val="0"/>
          <w:numId w:val="3"/>
        </w:numPr>
        <w:rPr/>
      </w:pPr>
      <w:r>
        <w:rPr/>
        <w:t>méta-régime archicratique scripturo-normatif, qui institue la norme dans l’écrit, fait de l’archive un vecteur d’autorité différée, et de la procédure un opérateur de légitimation ;</w:t>
      </w:r>
    </w:p>
    <w:p>
      <w:pPr>
        <w:pStyle w:val="BodyText"/>
        <w:numPr>
          <w:ilvl w:val="0"/>
          <w:numId w:val="3"/>
        </w:numPr>
        <w:rPr/>
      </w:pPr>
      <w:r>
        <w:rPr>
          <w:i/>
          <w:iCs/>
        </w:rPr>
        <w:t>méta-régime archicratique scripturo-cosmologique</w:t>
      </w:r>
      <w:r>
        <w:rPr/>
        <w:t>, où la forme régulatrice prend appui sur un ordre du monde stabilisé par l’écriture, et où les structures sociales se calquent sur une grammaire cosmique consignée dans un texte cosmographique de référence, garantissant l’homologie entre le céleste, le terrestre et le politique ;</w:t>
      </w:r>
    </w:p>
    <w:p>
      <w:pPr>
        <w:pStyle w:val="BodyText"/>
        <w:numPr>
          <w:ilvl w:val="0"/>
          <w:numId w:val="3"/>
        </w:numPr>
        <w:rPr/>
      </w:pPr>
      <w:r>
        <w:rPr>
          <w:i/>
          <w:iCs/>
        </w:rPr>
        <w:t>méta-régime archicratique théologique</w:t>
      </w:r>
      <w:r>
        <w:rPr/>
        <w:t>, fondé sur la révélation comme source immédiate d’obligation, où la parole divine, reçue, transmise et commentée, devient principe de légitimation en soi. L’autorité y procède d’une instance transcendante, et la régulation s’exerce par médiation interprétative — prophétique, doctrinale ou exégétique — sans que la norme ait besoin d’autre justification que sa provenance ;</w:t>
      </w:r>
    </w:p>
    <w:p>
      <w:pPr>
        <w:pStyle w:val="BodyText"/>
        <w:numPr>
          <w:ilvl w:val="0"/>
          <w:numId w:val="3"/>
        </w:numPr>
        <w:rPr/>
      </w:pPr>
      <w:r>
        <w:rPr/>
        <w:t>méta-régime archicratique historiographique, qui fonde la légitimité sur l’activation d’un récit collectif institué, consigné dans des textes-repères, et réactualisé par des protocoles publics de lecture, de commémoration ou de transmission. L’ordre y repose sur la fidélité narrative à une mémoire partagée, toujours réécrite et rituellement réactivée ;</w:t>
      </w:r>
    </w:p>
    <w:p>
      <w:pPr>
        <w:pStyle w:val="BodyText"/>
        <w:numPr>
          <w:ilvl w:val="0"/>
          <w:numId w:val="3"/>
        </w:numPr>
        <w:rPr/>
      </w:pPr>
      <w:r>
        <w:rPr/>
        <w:t>méta-régime archicratique épistémique, dans lequel l’autorité procède de la preuve, de la démonstration et de la formalisation objective, et où la co-viabilité se construit par la validation critique, la reproductibilité et la neutralisation des points de vue dans un espace de raison partagée ;</w:t>
      </w:r>
    </w:p>
    <w:p>
      <w:pPr>
        <w:pStyle w:val="BodyText"/>
        <w:numPr>
          <w:ilvl w:val="0"/>
          <w:numId w:val="3"/>
        </w:numPr>
        <w:rPr/>
      </w:pPr>
      <w:r>
        <w:rPr/>
        <w:t>méta-régime archicratique esthético-symbolique, qui opère par l’ajustement du champ sensible, canonise certaines formes comme convenables ou désirables, et instaure l’ordre à travers la stabilisation des styles perceptifs, sans passage par le discours ni par l’injonction explicite ;</w:t>
      </w:r>
    </w:p>
    <w:p>
      <w:pPr>
        <w:pStyle w:val="BodyText"/>
        <w:numPr>
          <w:ilvl w:val="0"/>
          <w:numId w:val="3"/>
        </w:numPr>
        <w:rPr/>
      </w:pPr>
      <w:r>
        <w:rPr/>
        <w:t>méta-régime archicratique normativo-politique, dans lequel la co-viabilité se règle par l’institution explicite de normes politiques, de procédures de légitimation, de droits, de souverainetés et de scènes publiques de délibération, de contentieux ou de représentation ;</w:t>
      </w:r>
    </w:p>
    <w:p>
      <w:pPr>
        <w:pStyle w:val="BodyText"/>
        <w:numPr>
          <w:ilvl w:val="0"/>
          <w:numId w:val="3"/>
        </w:numPr>
        <w:rPr/>
      </w:pPr>
      <w:r>
        <w:rPr/>
        <w:t>méta-régime archicratique marchand, où l’échange, le prix, la solvabilité, le contrat et l’arbitrage concurrentiel deviennent les opérateurs principaux de régulation des conduites, des accès et des priorités ;</w:t>
      </w:r>
    </w:p>
    <w:p>
      <w:pPr>
        <w:pStyle w:val="BodyText"/>
        <w:numPr>
          <w:ilvl w:val="0"/>
          <w:numId w:val="3"/>
        </w:numPr>
        <w:rPr/>
      </w:pPr>
      <w:r>
        <w:rPr/>
        <w:t>méta-régime archicratique guerrier, dans lequel l’ordre se construit autour de l’épreuve, de l’honneur, du commandement, de la discipline, de la menace organisée et de la violence armée réglée comme scène d’appartenance et de hiérarchisation.</w:t>
      </w:r>
    </w:p>
    <w:p>
      <w:pPr>
        <w:pStyle w:val="BodyText"/>
        <w:rPr/>
      </w:pPr>
      <w:r>
        <w:rPr/>
        <w:t>À ces douze méta-régimes archicratiques spécifiques s’ajoute un treizième plan différentiel-hybride, consacré aux compositions instables, mixtes, saisonnières ou composites des régimes, sans que ces configurations constituent pour autant un méta-régime spécifique supplémentaire.</w:t>
      </w:r>
    </w:p>
    <w:p>
      <w:pPr>
        <w:pStyle w:val="BodyText"/>
        <w:rPr/>
      </w:pPr>
      <w:r>
        <w:rPr/>
        <w:t>L’archicratie cybernético-calculatoire n’est pas intégrée ici à la typologie comme archétype à part entière. Sa singularité tient moins à une forme pure qu’à une configuration contemporaine, historiquement située et techniquement circonscrite. Son traitement détaillé est donc réservé à la fin du chapitre.</w:t>
      </w:r>
    </w:p>
    <w:p>
      <w:pPr>
        <w:pStyle w:val="BodyText"/>
        <w:rPr/>
      </w:pPr>
      <w:r>
        <w:rPr/>
        <w:t>Les développements qui suivent doivent être lus comme une cartographie d’archétypes irréductibles. Chaque méta-régime se définit par la conjonction d’un opérateur de validité, d’un locus de scène et d’une temporalité régulatrice. Avant d’introduire un nom, nous appliquons un test d’irréductibilité : à défaut de cumul de ces critères, la configuration est traitée comme variante intra-section ou comme composition différentielle. Cette nomenclature vise à éviter l’inflation catégorielle et à garantir la lisibilité des discontinuités conceptuelles.</w:t>
      </w:r>
    </w:p>
    <w:p>
      <w:pPr>
        <w:pStyle w:val="Heading3"/>
        <w:numPr>
          <w:ilvl w:val="2"/>
          <w:numId w:val="2"/>
        </w:numPr>
        <w:rPr/>
      </w:pPr>
      <w:r>
        <w:rPr/>
        <w:t xml:space="preserve">2.2.1 — </w:t>
      </w:r>
      <w:r>
        <w:rPr>
          <w:i/>
          <w:iCs/>
        </w:rPr>
        <w:t>Archicrations proto-symboliques —</w:t>
      </w:r>
      <w:r>
        <w:rPr/>
        <w:t xml:space="preserve"> gestuelles et linguistiques</w:t>
      </w:r>
    </w:p>
    <w:p>
      <w:pPr>
        <w:pStyle w:val="BodyText"/>
        <w:rPr/>
      </w:pPr>
      <w:r>
        <w:rPr/>
        <w:t>Bien avant l’institution étatique, l’écriture ou la formalisation juridique, les collectifs humains ont dû rendre viable la co-présence dans des environnements marqués par la mobilité, l’incertitude et la violence possible des corps. Ce que nous appelons ici archicrations proto-symboliques désigne ce régime de régulation où la co-viabilité repose sur l’incorporation rituelle, la mémoire affective, la scénarisation du geste et le partage codé du sensible.</w:t>
      </w:r>
    </w:p>
    <w:p>
      <w:pPr>
        <w:pStyle w:val="BodyText"/>
        <w:rPr/>
      </w:pPr>
      <w:r>
        <w:rPr/>
        <w:t>Il ne s’agit ni d’un pré-politique confus, ni d’une étape primitive appelée à être dépassée, mais d’une configuration régulatrice suffisamment cohérente pour être traitée comme un méta-régime proto-symbolique. Sa spécificité tient à ceci : le fondement y est symbolique ou cosmologique, la puissance opérante y circule dans les corps, les gestes, les objets et les rythmes, et la scène régulatrice s’y institue sans texte ni appareil centralisé, mais déjà selon une logique de différé, de mémoire et de reprise.</w:t>
      </w:r>
    </w:p>
    <w:p>
      <w:pPr>
        <w:pStyle w:val="BodyText"/>
        <w:rPr/>
      </w:pPr>
      <w:r>
        <w:rPr/>
        <w:t>L’enjeu est donc de montrer, à partir de données archéologiques et anthropologiques convergentes, que ces sociétés ont élaboré des formes robustes de traitement des tensions. Les figures qui suivent — sépultures, tabous, échanges différés, rites visionnaires, spatialisation symbolique — ne valent pas comme curiosités du passé, mais comme opérateurs de lisibilité d’un régime proto-symbolique de co-viabilité.</w:t>
      </w:r>
    </w:p>
    <w:p>
      <w:pPr>
        <w:pStyle w:val="BodyText"/>
        <w:rPr/>
      </w:pPr>
      <w:r>
        <w:rPr/>
        <w:t>Les sépultures paléolithiques constituent vraisemblablement l’une des premières scènes différées où une communauté se donne à elle-même une mémoire réglée de la perte et de la limite. En instituant un lieu, un geste et une mémoire autour du corps mort, elles transforment la disparition en opérateur d’ordre. Les cas de Sungir, Dolní Věstonice et La Chapelle-aux-Saints permettent d’en saisir trois modalités majeures.</w:t>
      </w:r>
    </w:p>
    <w:p>
      <w:pPr>
        <w:pStyle w:val="BodyText"/>
        <w:rPr/>
      </w:pPr>
      <w:r>
        <w:rPr/>
        <w:t>Découvert en 1955 à l’est de Moscou, le site de Sungir (culture gravettienne) a livré deux sépultures exceptionnelles : un adulte et deux enfants âgés d’environ dix ans, inhumés tête</w:t>
        <w:noBreakHyphen/>
        <w:t>bêche, leurs corps couverts de plus de 10 000 perles d’ivoire de mammouth finement taillées, accompagnées de pointes en os, de disques et de bracelets (Trinkaus &amp; Buzhilova, 2018). Les analyses isotopiques ont montré qu’un même groupe d’individus a consacré des centaines d’heures à la fabrication des parures, caractérisant ainsi un travail collectif différé et un investissement rituel sans finalité utilitaire.</w:t>
      </w:r>
    </w:p>
    <w:p>
      <w:pPr>
        <w:pStyle w:val="BodyText"/>
        <w:rPr/>
      </w:pPr>
      <w:r>
        <w:rPr/>
        <w:t>À Sungir, l’espace de la mort devient fondement symbolique : le geste funéraire suspend la circulation immédiate des forces pour instituer une mémoire active, collectivement investie. Leroi-Gourhan voyait dans ces dispositifs une mise en scène des valeurs ; dans une lecture archicratique, ils font apparaître une arcalité saturée de signes, une cratialité ritualisée et une scène régulatrice où le collectif traite symboliquement la limite qu’introduit la mort.</w:t>
      </w:r>
    </w:p>
    <w:p>
      <w:pPr>
        <w:pStyle w:val="BodyText"/>
        <w:rPr/>
      </w:pPr>
      <w:r>
        <w:rPr/>
        <w:t>En Moravie, à Dolní Věstonice, une triple sépulture datée de 28 000 ans (Svoboda, 2015) présente trois jeunes individus déposés côte à côte, orientés vers l’est, l’un partiellement recouvert d’ocre rouge, les mains croisées sur le bassin. Autour, un vaste habitat de huttes semi</w:t>
        <w:noBreakHyphen/>
        <w:t>souterraines, des fours d’argile, et des figurines animales et humaines — dont la célèbre Vénus en terre cuite, l’une des plus anciennes céramiques connues.</w:t>
      </w:r>
    </w:p>
    <w:p>
      <w:pPr>
        <w:pStyle w:val="BodyText"/>
        <w:rPr/>
      </w:pPr>
      <w:r>
        <w:rPr/>
        <w:t>Olga Soffer y lit une « invention de la symbolisation partagée » : la céramique — objet de régulation — est un moyen de fixer, de différer et de transformer le geste collectif. Dans cette configuration, l’arcalité dans la codification du lieu et des orientations, la cratialité dans la fabrication (la main, la chaleur, la matière) et la scène régulatrice dans la cérémonie funéraire elle-même, qui lie le feu, l’ocre et le corps pour donner forme à la perte.</w:t>
      </w:r>
    </w:p>
    <w:p>
      <w:pPr>
        <w:pStyle w:val="BodyText"/>
        <w:rPr/>
      </w:pPr>
      <w:r>
        <w:rPr/>
        <w:t>Alain Testart (</w:t>
      </w:r>
      <w:r>
        <w:rPr>
          <w:i/>
          <w:iCs/>
        </w:rPr>
        <w:t>Critique du don</w:t>
      </w:r>
      <w:r>
        <w:rPr/>
        <w:t>, 2007, p. 83</w:t>
        <w:noBreakHyphen/>
        <w:t>90), quant à lui, rappelle que l’ocre et le feu appartiennent au même champ symbolique de la transformation : « on ne rend pas la vie, on la traduit ». Ici, la traduction devient scène de régulation, où la société se confronte à la finitude en la modulant rituellement.</w:t>
      </w:r>
    </w:p>
    <w:p>
      <w:pPr>
        <w:pStyle w:val="BodyText"/>
        <w:rPr/>
      </w:pPr>
      <w:r>
        <w:rPr/>
        <w:t>Plus ancien encore, le Néandertalien de La Chapelle</w:t>
        <w:noBreakHyphen/>
        <w:t>aux</w:t>
        <w:noBreakHyphen/>
        <w:t>Saints, découvert en 1908 et réétudié par William Rendu et al. (</w:t>
      </w:r>
      <w:r>
        <w:rPr>
          <w:i/>
          <w:iCs/>
        </w:rPr>
        <w:t>PNAS</w:t>
      </w:r>
      <w:r>
        <w:rPr/>
        <w:t>, 2013), fut trouvé dans une fosse creusée intentionnellement, le corps replié, accompagné de fragments osseux d’animaux. Le réexamen stratigraphique a confirmé que la disposition était délibérée et non le résultat d’un hasard taphonomique.</w:t>
      </w:r>
    </w:p>
    <w:p>
      <w:pPr>
        <w:pStyle w:val="BodyText"/>
        <w:rPr/>
      </w:pPr>
      <w:r>
        <w:rPr/>
        <w:t>Ce geste, daté d’environ 60 000 ans, constitue l’un des premiers actes de suspension du flux naturel. Le corps n’est plus laissé à la prédation ni au hasard ; il est mis en réserve. Lewis</w:t>
        <w:noBreakHyphen/>
        <w:t>Williams (</w:t>
      </w:r>
      <w:r>
        <w:rPr>
          <w:i/>
          <w:iCs/>
        </w:rPr>
        <w:t>The Mind in the Cave</w:t>
      </w:r>
      <w:r>
        <w:rPr/>
        <w:t>, 2002) y voit l’émergence d’une « pensée du seuil » : l’idée qu’entre le visible et l’invisible s’installe un espace d’épreuve.</w:t>
      </w:r>
    </w:p>
    <w:p>
      <w:pPr>
        <w:pStyle w:val="BodyText"/>
        <w:rPr/>
      </w:pPr>
      <w:r>
        <w:rPr/>
        <w:t>Cette fosse néandertalienne peut être lue comme l’un des premiers indices d’une interruption symboliquement réglée du cycle biologique : le collectif, fût-il restreint, y suspend le devenir naturel du corps pour lui conférer une temporalité distincte. Ce n’est ni la crainte des morts ni la promesse d’un au</w:t>
        <w:noBreakHyphen/>
        <w:t>delà, mais la mise en scène d’une limite — le geste par lequel l’humanité apprend à prendre conscience de sa condition et de finitude.</w:t>
      </w:r>
    </w:p>
    <w:p>
      <w:pPr>
        <w:pStyle w:val="BodyText"/>
        <w:rPr/>
      </w:pPr>
      <w:r>
        <w:rPr/>
        <w:t>Ces trois sites montrent une même opération régulatrice : la mort y devient instrument de viabilisation collective. Chaque sépulture articule un fondement symbolique, des gestes opérants et une scène de mémoire instituée. Loin d’être des anomalies culturelles, elles attestent que la régulation — comme mise en forme du rapport à la limite, au temps et au lien — précède l’État, et même l’écriture.</w:t>
      </w:r>
    </w:p>
    <w:p>
      <w:pPr>
        <w:pStyle w:val="BodyText"/>
        <w:rPr/>
      </w:pPr>
      <w:r>
        <w:rPr/>
        <w:t>Dans les sociétés du Paléolithique supérieur, la différenciation sociale ne prend pas d’abord la forme d’une hiérarchie verticale ou d’une domination instituée, mais celle, plus diffuse, d’une syntaxe de l’interdit. Les tabous alimentaires, sexuels ou relationnels ne relèvent pas d’une irrationalité résiduelle : ils organisent la cohabitation des corps, distribuent les distances, encadrent les alliances et modulent les comportements. Ce sont moins des lois que des tracés invisibles de la co-viabilité.</w:t>
      </w:r>
    </w:p>
    <w:p>
      <w:pPr>
        <w:pStyle w:val="BodyText"/>
        <w:rPr/>
      </w:pPr>
      <w:r>
        <w:rPr/>
        <w:t>Claude Lévi-Strauss a montré que l’interdit de l’inceste constitue le noyau génératif de tout système d’échange symbolique : la règle d’exogamie agit moins comme prohibition que comme mécanisme de redistribution des affects, des statuts et des circulations. Dans ce contexte, où l’écrit est absent et les traces lacunaires, cette logique ne peut être reconstituée qu’indirectement, à partir de la spatialisation des habitats, de certaines dissymétries figuratives et des formes probables d’alliance.</w:t>
      </w:r>
    </w:p>
    <w:p>
      <w:pPr>
        <w:pStyle w:val="BodyText"/>
        <w:rPr/>
      </w:pPr>
      <w:r>
        <w:rPr/>
        <w:t>L’interdit alimentaire agit, lui aussi, comme opérateur de régulation. La sélection des espèces consommées, le traitement différencié des restes ou la mise à l’écart de certaines parties animales témoignent d’une économie symbolique du licite et de l’appropriable irréductible à la seule efficacité technique. Dans le même esprit, les Vénus paléolithiques peuvent être lues moins comme objets de culte que comme indices d’un codage partagé de la sexualité, de la reproduction et des transmissions, sans que cette hypothèse puisse être absolutisée.</w:t>
      </w:r>
    </w:p>
    <w:p>
      <w:pPr>
        <w:pStyle w:val="BodyText"/>
        <w:rPr/>
      </w:pPr>
      <w:r>
        <w:rPr/>
        <w:t>Ce qui apparaît alors, c’est la capacité de ces groupes à instituer, sans loi explicite ni appareil juridique, des bornes de comportement à travers des pratiques, des objets, des récits et des gestes. Comme l’a montré Maurice Godelier, l’échange matrimonial et le don différé ne relèvent pas d’une spontanéité sociale, mais d’une temporalité réglée du retour, qui structure la relation sans avoir besoin de l’énoncer. Dans cette trame intériorisée, l’interdit ne supprime pas la tension : il lui donne forme, la distribue et la rend vivable.</w:t>
      </w:r>
    </w:p>
    <w:p>
      <w:pPr>
        <w:pStyle w:val="BodyText"/>
        <w:rPr/>
      </w:pPr>
      <w:r>
        <w:rPr/>
        <w:t>L’économie paléolithique cesse d’échapper au politique dès lors qu’on la considère non plus seulement sous l’angle des besoins ou des chaînes opératoires, mais à partir des formes d’échange, des circulations d’objets et des temporalités du don. Avec Mauss, puis Godelier, on comprend que ce qui structure durablement la relation n’est pas seulement l’objet donné, mais le différé qu’il institue : donner, recevoir, rendre ne forment pas une simple séquence d’échange, mais une manière de maintenir le lien dans le temps.</w:t>
      </w:r>
    </w:p>
    <w:p>
      <w:pPr>
        <w:pStyle w:val="BodyText"/>
        <w:rPr/>
      </w:pPr>
      <w:r>
        <w:rPr/>
        <w:t>Transposée au Paléolithique supérieur, cette logique se laisse entrevoir dans la circulation à longue distance de perles, de coquillages, de pigments, de pointes en os ou de blocs d’obsidienne, dont la trajectoire ne se réduit pas à un troc utilitaire. La lenteur même de ces circulations suggère une économie d’attente, de renvoi et d’adresse, où l’objet fonctionne comme support visible d’un lien actif. Le don n’est pas ici un acte isolé, mais l’ouverture d’un intervalle régulateur : il oblige sans contraindre, appelle sans exiger, et rend perceptible la mémoire d’un geste à venir.</w:t>
      </w:r>
    </w:p>
    <w:p>
      <w:pPr>
        <w:pStyle w:val="BodyText"/>
        <w:rPr/>
      </w:pPr>
      <w:r>
        <w:rPr/>
        <w:t>Les alliances matrimoniales relèvent de la même logique. Comme l’a montré Lévi-Strauss, elles organisent moins une simple reproduction biologique qu’une circulation réglée des statuts, des places et des dettes symboliques. Dans le cadre paléolithique, où les preuves directes sont rares, cette structure ne peut être approchée qu’indirectement, à partir des formes d’habitat, des sépultures multiples ou des asymétries rituelles. Elle n’en indique pas moins une économie du différé dans laquelle la tension relationnelle est distribuée plutôt qu’abolie.</w:t>
      </w:r>
    </w:p>
    <w:p>
      <w:pPr>
        <w:pStyle w:val="BodyText"/>
        <w:rPr/>
      </w:pPr>
      <w:r>
        <w:rPr/>
        <w:t>Testart a rappelé que le don différé peut aussi fonder des asymétries et des dépendances ; mais dans les sociétés sans accumulation durable, cette dette demeure le plus souvent mobile, réversible et partagée. Ce qui compte ici, ce n’est pas l’équilibre immédiat, mais la capacité du lien à se maintenir dans l’intervalle, par la mémoire active des échanges et des obligations non closes.</w:t>
      </w:r>
    </w:p>
    <w:p>
      <w:pPr>
        <w:pStyle w:val="BodyText"/>
        <w:rPr/>
      </w:pPr>
      <w:r>
        <w:rPr/>
        <w:t>Au-delà des gestes codés, des échanges différés et des sépultures investies, les sociétés paléolithiques élaborent aussi des scènes visionnaires où la régulation passe par la transformation du sensible lui-même. Les cavités ornées — Chauvet, Cosquer, Altamira, Pech Merle, Trois-Frères — ne sont ni des espaces décoratifs ni des sanctuaires au sens ultérieur, mais des lieux de co-présence non ordinaire, où se rejouent des tensions fondamentales sous forme perceptive, sonore et corporelle.</w:t>
      </w:r>
    </w:p>
    <w:p>
      <w:pPr>
        <w:pStyle w:val="BodyText"/>
        <w:rPr/>
      </w:pPr>
      <w:r>
        <w:rPr/>
        <w:t>Les travaux de David Lewis-Williams et Jean Clottes ont montré que les configurations pariétales profondes concentrent des motifs et des agencements compatibles avec des états modifiés de perception : superpositions, déformations, hybridations. Il ne s’agit pas de représenter le monde, mais de le reconfigurer dans une scène où le groupe éprouve collectivement des passages, des seuils et des transformations.</w:t>
      </w:r>
    </w:p>
    <w:p>
      <w:pPr>
        <w:pStyle w:val="BodyText"/>
        <w:rPr/>
      </w:pPr>
      <w:r>
        <w:rPr/>
        <w:t>Dans les configurations ici considérées, les figures chamaniques apparaissent moins comme des autorités de commandement que comme des opérateurs de modulation : elles ne tranchent pas d’abord, elles mettent en relation. Comme le suggère Steven Mithen, ces pratiques mobilisent une proto-musicalité du langage, capable d’articuler rythme, émotion et co-activation corporelle. La scène rituelle devient alors un lieu d’ajustement où les dissonances sont traitées, les tensions rejouées et les écarts rendus partageables.</w:t>
      </w:r>
    </w:p>
    <w:p>
      <w:pPr>
        <w:pStyle w:val="BodyText"/>
        <w:rPr/>
      </w:pPr>
      <w:r>
        <w:rPr/>
        <w:t>La régulation s’y opère à travers une mise en forme du rapport au monde : projection d’un au-delà du visible, mobilisation des corps, synchronisation des attentions. La scène visionnaire n’impose pas un ordre, elle le fait émerger en transformant les conditions mêmes de perception et de relation.</w:t>
      </w:r>
    </w:p>
    <w:p>
      <w:pPr>
        <w:pStyle w:val="BodyText"/>
        <w:rPr/>
      </w:pPr>
      <w:r>
        <w:rPr/>
        <w:t>Ces pratiques ne relèvent ni de la croyance naïve ni de la simple expression symbolique : elles constituent des dispositifs de régulation où le groupe traite, dans une scène partagée, ce qui excède sa maîtrise immédiate. En donnant forme à l’invisible, elles rendent vivable l’incertitude, et transforment l’épreuve en opérateur de co-viabilité.</w:t>
      </w:r>
    </w:p>
    <w:p>
      <w:pPr>
        <w:pStyle w:val="BodyText"/>
        <w:rPr/>
      </w:pPr>
      <w:r>
        <w:rPr/>
        <w:t>L’espace paléolithique, lorsqu’il est considéré dans sa stricte matérialité, donne peu prise à la conceptualisation politique. Et pourtant, tout indique qu’il n’était ni neutre, ni indifférencié, ni purement fonctionnel. Il existe, dans l’usage même du sol, de la paroi, du vide et du seuil, une syntaxe implicite, un ordonnancement codé, une stratification régulatrice que l’on ne peut plus rabattre sur le seul besoin d’abri ou de stockage. La géographie symbolique paléolithique configure des scènes, trace des lignes d’intensité, qualifie les lieux selon leur capacité à accueillir ou à retenir, à exposer ou à envelopper.</w:t>
      </w:r>
    </w:p>
    <w:p>
      <w:pPr>
        <w:pStyle w:val="BodyText"/>
        <w:rPr/>
      </w:pPr>
      <w:r>
        <w:rPr/>
        <w:t>L’exemple du site de Bruniquel, daté d’environ 176 000 ans, est particulièrement éclairant : dans une cavité profonde, des structures circulaires de stalagmites ont été agencées selon une géométrie précise, sans fonction domestique identifiable. Il ne s’agit pas d’un espace d’habitation, mais d’un dispositif produisant du lieu — une configuration où l’agencement même institue une scène et appelle une attention réglée.</w:t>
      </w:r>
    </w:p>
    <w:p>
      <w:pPr>
        <w:pStyle w:val="BodyText"/>
        <w:rPr/>
      </w:pPr>
      <w:r>
        <w:rPr/>
        <w:t>Cette logique se retrouve dans les grottes ornées du Paléolithique supérieur. Comme l’ont montré Jean Clottes et d’autres archéologues, les figures ne sont jamais disposées au hasard : elles s’inscrivent dans des morphologies pariétales actives, exploitent les reliefs, les failles, les bifurcations. L’espace ne sert pas de support, il oriente les gestes, module les parcours, distribue les intensités.</w:t>
      </w:r>
    </w:p>
    <w:p>
      <w:pPr>
        <w:pStyle w:val="BodyText"/>
        <w:rPr/>
      </w:pPr>
      <w:r>
        <w:rPr/>
        <w:t>Les objets portables participent de cette même spatialisation. Comme l’a montré Randall White, perles, pendeloques ou bâtons percés ne sont pas de simples ornements : ils transportent des marqueurs de relation, rendent visibles des trajectoires, signalent des appartenances. Porter un objet, c’est déplacer une mémoire et exposer un lien.</w:t>
      </w:r>
    </w:p>
    <w:p>
      <w:pPr>
        <w:pStyle w:val="BodyText"/>
        <w:rPr/>
      </w:pPr>
      <w:r>
        <w:rPr/>
        <w:t>Dans les configurations d’habitat, enfin, la disposition des foyers, des zones d’activité ou des objets votifs révèle des matrices de co-présence différenciée. Comme l’a montré Geneviève Pinçon, ces agencements distribuent les positions, orientent les interactions et produisent des formes temporaires d’ordre sans recours à une autorité centrale.</w:t>
      </w:r>
    </w:p>
    <w:p>
      <w:pPr>
        <w:pStyle w:val="BodyText"/>
        <w:rPr/>
      </w:pPr>
      <w:r>
        <w:rPr/>
        <w:t>Dans ces configurations, la régulation ne passe pas d’abord par la parole ou la règle explicite, mais par la disposition même des lieux. L’espace module les conduites, cadre les interactions et rend perceptibles les seuils. Il permet d’ordonner sans prescrire, de structurer sans centraliser, en inscrivant la co-viabilité dans la matérialité même du monde vécu.</w:t>
      </w:r>
    </w:p>
    <w:p>
      <w:pPr>
        <w:pStyle w:val="BodyText"/>
        <w:rPr/>
      </w:pPr>
      <w:r>
        <w:rPr/>
        <w:t>Les sociétés paléolithiques donnent à voir une forme de régulation sans appareil centralisé, sans codification explicite et sans autorité instituée, mais néanmoins structurée, opérante et transmissible. La co-viabilité y repose sur une multiplicité de dispositifs — sépultures, interdits, échanges différés, rites visionnaires, agencements spatiaux — par lesquels les tensions sont mises en forme, différées et rendues partageables.</w:t>
      </w:r>
    </w:p>
    <w:p>
      <w:pPr>
        <w:pStyle w:val="BodyText"/>
        <w:rPr/>
      </w:pPr>
      <w:r>
        <w:rPr/>
        <w:t>Ce régime ne relève ni d’un primitivisme, ni d’un stade initial appelé à disparaître, mais d’une configuration archicratique spécifique, dans laquelle le fondement se distribue dans les formes symboliques, la puissance circule dans les gestes et les relations, et la scène apparaît chaque fois qu’un seuil est institué. La régulation ne s’y impose pas : elle émerge des médiations mêmes qui rendent le monde habitable.</w:t>
      </w:r>
    </w:p>
    <w:p>
      <w:pPr>
        <w:pStyle w:val="BodyText"/>
        <w:rPr/>
      </w:pPr>
      <w:r>
        <w:rPr/>
        <w:t>Ce premier méta-régime montre ainsi que l’archicratie ne suppose ni État, ni loi, ni institution formelle pour opérer. Elle apparaît dès que des collectifs humains inventent des formes capables de suspendre l’immédiateté, de structurer les relations et de rendre habitable la tension constitutive du vivre-ensemble.</w:t>
      </w:r>
    </w:p>
    <w:p>
      <w:pPr>
        <w:pStyle w:val="Heading3"/>
        <w:numPr>
          <w:ilvl w:val="2"/>
          <w:numId w:val="2"/>
        </w:numPr>
        <w:rPr/>
      </w:pPr>
      <w:r>
        <w:rPr/>
        <w:t xml:space="preserve">2.2.2 — </w:t>
      </w:r>
      <w:r>
        <w:rPr>
          <w:i/>
          <w:iCs/>
        </w:rPr>
        <w:t>Archicrations</w:t>
      </w:r>
      <w:r>
        <w:rPr/>
        <w:t xml:space="preserve"> </w:t>
      </w:r>
      <w:r>
        <w:rPr>
          <w:i/>
          <w:iCs/>
        </w:rPr>
        <w:t>sacrales non étatiques</w:t>
      </w:r>
    </w:p>
    <w:p>
      <w:pPr>
        <w:pStyle w:val="BodyText"/>
        <w:rPr/>
      </w:pPr>
      <w:r>
        <w:rPr/>
        <w:t>Avec la sédentarisation progressive, les premières formes d’agriculture et la densification des interactions intergroupes, certaines communautés néolithiques élaborent des dispositifs de régulation qui se distinguent plus nettement des formes proto-symboliques paléolithiques. Il ne s’agit pas d’une rupture soudaine, mais d’un déplacement : des régulations largement incorporées tendent à se reconfigurer autour de foyers symboliques extériorisés — lieux, objets, figures, récits, rythmes cérémoniels — sans pour autant se cristalliser en appareil étatique ou en souveraineté centralisée.</w:t>
      </w:r>
    </w:p>
    <w:p>
      <w:pPr>
        <w:pStyle w:val="BodyText"/>
        <w:rPr/>
      </w:pPr>
      <w:r>
        <w:rPr/>
        <w:t>Dans ces configurations, la co-viabilité repose sur le sacré, mais sur un sacré qui ne se convertit pas en commandement unifié. Le pouvoir n’y est pas exercé comme décision ; il est mis à distance, ritualisé, distribué et médiatisé. C’est dans cette économie du retrait que se forme un régime archicratique spécifique : une archicration sacrale non étatique, où la cohérence collective se maintient par la différenciation symbolique, la séparation des fonctions et la codification des seuils.</w:t>
      </w:r>
    </w:p>
    <w:p>
      <w:pPr>
        <w:pStyle w:val="BodyText"/>
        <w:rPr/>
      </w:pPr>
      <w:r>
        <w:rPr/>
        <w:t>Les travaux de Philippe Descola, de David Graeber et David Wengrow, de Pierre Clastres et de Maurice Godelier éclairent cette logique sous plusieurs angles convergents. Ils montrent que certaines sociétés peuvent organiser leur stabilité sans centralisation coercitive, en distribuant l’autorité dans des cosmologies, des objets retirés, des rôles rituels et des médiations symboliques qui empêchent précisément la capture personnelle du pouvoir.</w:t>
      </w:r>
    </w:p>
    <w:p>
      <w:pPr>
        <w:pStyle w:val="BodyText"/>
        <w:rPr/>
      </w:pPr>
      <w:r>
        <w:rPr/>
        <w:t>Ce qui importe ici n’est donc pas de projeter un modèle uniforme sur l’ensemble des sociétés néolithiques, mais de dégager, à partir de cas empiriquement attestés, les lignes de force d’un régime où l’ordre ne procède ni de la loi ni du commandement, mais d’une orchestration symbolique du retrait, de la distance et de la médiation.</w:t>
      </w:r>
    </w:p>
    <w:p>
      <w:pPr>
        <w:pStyle w:val="BodyText"/>
        <w:rPr/>
      </w:pPr>
      <w:r>
        <w:rPr/>
        <w:t>Au cœur de ces configurations sacrales non étatiques, le totémisme apparaît non comme une simple classification symbolique, mais comme une matrice opératoire de régulation. Il ne se réduit ni à une croyance ni à un système d’identification entre humains et non-humains : il organise des rapports de différence, d’alliance et d’interdiction qui structurent la co-viabilité du groupe.</w:t>
      </w:r>
    </w:p>
    <w:p>
      <w:pPr>
        <w:pStyle w:val="BodyText"/>
        <w:rPr/>
      </w:pPr>
      <w:r>
        <w:rPr/>
        <w:t>Le site de Göbekli Tepe, daté du Xe millénaire av. J.-C., en offre une illustration particulièrement éclairante. Sur ce plateau d’Anatolie, des enceintes circulaires monumentales, composées de piliers anthropomorphes gravés de figures animales stylisées — félins, serpents, oiseaux de proie, aurochs — dessinent une scène rituelle sans équivalent domestique. L’absence d’habitat permanent ou d’activité agricole suggère un dispositif entièrement dédié à la mise en forme d’un ordre symbolique collectif. Les figures animales n’y décorent pas : elles différencient, orientent et médiatisent les relations.</w:t>
      </w:r>
    </w:p>
    <w:p>
      <w:pPr>
        <w:pStyle w:val="BodyText"/>
        <w:rPr/>
      </w:pPr>
      <w:r>
        <w:rPr/>
        <w:t>Dans une telle configuration, le totem ne représente pas : il régule. Il distribue des positions, encadre les alliances, institue des interdits et rend possible une différenciation sans hiérarchie centralisée. Comme l’a montré Claude Lévi-Strauss, le totémisme organise des rapports de différence structurés plutôt qu’il n’exprime une croyance ; et comme l’a prolongé Philippe Descola, il opère comme un schème relationnel permettant de stabiliser indirectement les tensions en les inscrivant dans un système de correspondances.</w:t>
      </w:r>
    </w:p>
    <w:p>
      <w:pPr>
        <w:pStyle w:val="BodyText"/>
        <w:rPr/>
      </w:pPr>
      <w:r>
        <w:rPr/>
        <w:t>Cette logique peut se prolonger dans des configurations où le territoire lui-même devient opérateur régulateur. Dans certaines sociétés aborigènes d’Australie, étudiées notamment par Nancy Munn et Howard Morphy, chaque totem est associé à des lieux, des récits et des trajectoires mythiques qui codent les usages, les interdits et les appartenances. L’espace devient alors une carte relationnelle où la co-viabilité est inscrite dans la distribution symbolique des êtres et des positions.</w:t>
      </w:r>
    </w:p>
    <w:p>
      <w:pPr>
        <w:pStyle w:val="BodyText"/>
        <w:rPr/>
      </w:pPr>
      <w:r>
        <w:rPr/>
        <w:t>Dans ces régimes, le totémisme fonctionne comme une technologie sociale du différé : il empêche l’absorption du même, organise l’échange sans le laisser à l’arbitraire et rend les tensions traitables en les déplaçant dans un système de médiations symboliques. Il ne fixe pas un ordre ; il en rend l’émergence possible en distribuant les conditions de la relation.</w:t>
      </w:r>
    </w:p>
    <w:p>
      <w:pPr>
        <w:pStyle w:val="BodyText"/>
        <w:rPr/>
      </w:pPr>
      <w:r>
        <w:rPr/>
        <w:t>En ce sens, le totémisme néolithique ne constitue pas une forme primitive de religion, mais un dispositif régulateur à part entière : une configuration dans laquelle la différenciation symbolique permet de maintenir la co-viabilité sans recours à une autorité centralisée.</w:t>
      </w:r>
    </w:p>
    <w:p>
      <w:pPr>
        <w:pStyle w:val="BodyText"/>
        <w:rPr/>
      </w:pPr>
      <w:r>
        <w:rPr/>
        <w:t>Au-delà du totémisme, d’autres dispositifs sacrés assurent la régulation par dissociation, retrait et médiation. Leur fonction commune est de rendre le pouvoir opérant sans le rendre appropriable, en le déplaçant hors de toute incarnation stable.</w:t>
      </w:r>
    </w:p>
    <w:p>
      <w:pPr>
        <w:pStyle w:val="BodyText"/>
        <w:rPr/>
      </w:pPr>
      <w:r>
        <w:rPr/>
        <w:t>Le masque en constitue une forme exemplaire. Comme l’a montré Michel Leiris, il ne dissimule pas un individu mais suspend son identité pour faire apparaître une fonction. Celui qui le porte ne parle plus en son nom : il devient support d’une parole et d’un geste délégués. Cette dissociation empêche toute appropriation durable de la puissance, en la maintenant dans une scène rituelle limitée et codifiée.</w:t>
      </w:r>
    </w:p>
    <w:p>
      <w:pPr>
        <w:pStyle w:val="BodyText"/>
        <w:rPr/>
      </w:pPr>
      <w:r>
        <w:rPr/>
        <w:t>Cette logique se prolonge dans les objets sacrés inaccessibles analysés par Maurice Godelier. Chez les Baruya, certaines flûtes ou pierres rituelles ne tirent pas leur force d’un pouvoir intrinsèque, mais du fait même qu’elles sont soustraites à la vue, au nom et à l’usage ordinaire. Leur efficacité réside dans cette mise à distance : c’est parce qu’ils ne peuvent être appropriés qu’ils structurent durablement l’ordre collectif.</w:t>
      </w:r>
    </w:p>
    <w:p>
      <w:pPr>
        <w:pStyle w:val="BodyText"/>
        <w:rPr/>
      </w:pPr>
      <w:r>
        <w:rPr/>
        <w:t>Les figures médiatrices, enfin, assurent une régulation par traduction plutôt que par commandement. Dans les sociétés amazoniennes étudiées par Eduardo Viveiros de Castro, le chaman ou les figures hybrides ne détiennent pas le pouvoir : ils opèrent comme relais entre les mondes, déplacent les tensions et reconfigurent les relations sans jamais les trancher directement. Leur efficacité tient à leur instabilité même, à leur capacité à transformer les perspectives plutôt qu’à imposer une décision.</w:t>
      </w:r>
    </w:p>
    <w:p>
      <w:pPr>
        <w:pStyle w:val="BodyText"/>
        <w:rPr/>
      </w:pPr>
      <w:r>
        <w:rPr/>
        <w:t>Dans ces différents dispositifs, la régulation ne procède ni de l’autorité ni de la contrainte, mais d’une mise en scène du retrait. Le pouvoir demeure actif parce qu’il est soustrait à toute instance stable : il circule, se distribue, se transforme, sans jamais pouvoir se fixer dans une position dominante.</w:t>
      </w:r>
    </w:p>
    <w:p>
      <w:pPr>
        <w:pStyle w:val="BodyText"/>
        <w:rPr/>
      </w:pPr>
      <w:r>
        <w:rPr/>
        <w:t>Ces formes montrent qu’une société peut maintenir sa cohérence en empêchant précisément la capture du pouvoir. La dissociation des fonctions, la mise à distance des objets et la médiation des figures permettent de réguler les tensions sans les concentrer dans une instance unique.</w:t>
      </w:r>
    </w:p>
    <w:p>
      <w:pPr>
        <w:pStyle w:val="BodyText"/>
        <w:rPr/>
      </w:pPr>
      <w:r>
        <w:rPr/>
        <w:t>Ces régulations sacrales non étatiques reposent également sur des dispositifs cycliques de traitement périodique des tensions collectives. Le rite n’y stabilise pas un ordre une fois pour toutes : il le rejoue, le réactive et le rend à nouveau partageable dans une temporalité codée.</w:t>
      </w:r>
    </w:p>
    <w:p>
      <w:pPr>
        <w:pStyle w:val="BodyText"/>
        <w:rPr/>
      </w:pPr>
      <w:r>
        <w:rPr/>
        <w:t>Victor Turner a montré, à partir des rituels ndembu, que ces dispositifs ne visent pas à désigner un responsable ou à trancher un conflit, mais à reconfigurer l’ensemble du champ relationnel. Le désordre est déplacé dans une scène symbolique où gestes, chants et objets permettent de transformer la tension sans la réduire à une faute individuelle.</w:t>
      </w:r>
    </w:p>
    <w:p>
      <w:pPr>
        <w:pStyle w:val="BodyText"/>
        <w:rPr/>
      </w:pPr>
      <w:r>
        <w:rPr/>
        <w:t>Chez les Dogon, les grandes cérémonies comme le sigui rejouent périodiquement l’ordre cosmologique et social, réinscrivant les relations entre vivants, ancêtres et monde dans une temporalité rituelle. La stabilité collective ne repose pas sur l’inertie, mais sur cette capacité à réactiver les formes qui la rendent possible.</w:t>
      </w:r>
    </w:p>
    <w:p>
      <w:pPr>
        <w:pStyle w:val="BodyText"/>
        <w:rPr/>
      </w:pPr>
      <w:r>
        <w:rPr/>
        <w:t>À cette régulation rythmique s’articule une régulation par la parole médiatisée. Comme l’a montré Pierre Clastres, certaines sociétés organisent la fonction de chef comme une parole sans pouvoir : il parle, mais ne commande pas. Sa fonction est de maintenir un espace d’écoute, de reformuler les tensions et de les inscrire dans une mémoire partagée.</w:t>
      </w:r>
    </w:p>
    <w:p>
      <w:pPr>
        <w:pStyle w:val="BodyText"/>
        <w:rPr/>
      </w:pPr>
      <w:r>
        <w:rPr/>
        <w:t>Dans cette même logique, les dispositifs divinatoires comme l’Ifá yoruba ne produisent pas de décision immédiate, mais ouvrent un espace d’interprétation. La parole y est toujours relayée, jamais souveraine : elle oriente sans imposer, retarde la décision et la rend collective.</w:t>
      </w:r>
    </w:p>
    <w:p>
      <w:pPr>
        <w:pStyle w:val="BodyText"/>
        <w:rPr/>
      </w:pPr>
      <w:r>
        <w:rPr/>
        <w:t>Ainsi, rituels cycliques et parole médiatisée participent d’une même logique archicratique : instituer des scènes où les tensions peuvent être reprises, transformées et redistribuées sans être captées par une instance centrale.</w:t>
      </w:r>
    </w:p>
    <w:p>
      <w:pPr>
        <w:pStyle w:val="BodyText"/>
        <w:rPr/>
      </w:pPr>
      <w:r>
        <w:rPr/>
        <w:t>La régulation ne passe pas ici par la résolution immédiate, mais par la temporalisation du lien : ce qui pourrait se figer en conflit est réinscrit dans un cycle, un récit ou une parole partagée.</w:t>
      </w:r>
    </w:p>
    <w:p>
      <w:pPr>
        <w:pStyle w:val="BodyText"/>
        <w:rPr/>
      </w:pPr>
      <w:r>
        <w:rPr/>
        <w:t>Ces régimes sacrés non étatiques donnent à voir une forme de régulation hautement structurée, sans pouvoir central, sans légalité positive et sans appareil souverain. La co-viabilité y repose sur une pluralité de médiations — totémiques, rituelles, objectales, langagières, cycliques — par lesquelles les tensions sont différées, redistribuées et rendues traitables sans être captées par une instance unique.</w:t>
      </w:r>
    </w:p>
    <w:p>
      <w:pPr>
        <w:pStyle w:val="BodyText"/>
        <w:rPr/>
      </w:pPr>
      <w:r>
        <w:rPr/>
        <w:t>Il ne s’agit ni d’un pré-politique confus, ni d’une étape inachevée vers l’État, mais d’une configuration archicratique spécifique. Le fondement s’y distribue dans des cosmologies, des récits, des interdits et des objets retirés ; la puissance circule dans les gestes, les rôles, les rythmes et les paroles relayées ; la scène régulatrice apparaît chaque fois qu’un seuil symbolique est institué pour permettre au collectif de traiter ce qui le traverse sans se livrer à la logique de la capture.</w:t>
      </w:r>
    </w:p>
    <w:p>
      <w:pPr>
        <w:pStyle w:val="BodyText"/>
        <w:rPr/>
      </w:pPr>
      <w:r>
        <w:rPr/>
        <w:t>Ce méta-régime montre ainsi qu’une société peut produire de la cohérence, stabiliser des positions, moduler les affects et contenir les violences sans recourir à la centralisation du commandement. L’ordre n’y procède pas de la décision souveraine, mais d’une orchestration symbolique du retrait, de la distance et de la médiation. Les archicrations sacrales non étatiques constituent en cela une forme pleinement intelligible et irréductible de co-viabilité. Un tableau de synthèse de ce méta-régime est reporté en annexe.</w:t>
      </w:r>
    </w:p>
    <w:p>
      <w:pPr>
        <w:pStyle w:val="BodyText"/>
        <w:rPr/>
      </w:pPr>
      <w:r>
        <w:rPr/>
        <w:t>Ces dispositifs rencontrent cependant leurs limites lorsque la densité démographique, la spécialisation fonctionnelle et la complexification des flux exigent des formes plus explicites de coordination et de mémorisation. C’est ce seuil que franchit la sous-section suivante.</w:t>
      </w:r>
    </w:p>
    <w:p>
      <w:pPr>
        <w:pStyle w:val="Heading3"/>
        <w:numPr>
          <w:ilvl w:val="2"/>
          <w:numId w:val="2"/>
        </w:numPr>
        <w:rPr/>
      </w:pPr>
      <w:r>
        <w:rPr/>
        <w:t xml:space="preserve">2.2.3 — </w:t>
      </w:r>
      <w:r>
        <w:rPr>
          <w:i/>
          <w:iCs/>
        </w:rPr>
        <w:t>Archicrations</w:t>
      </w:r>
      <w:r>
        <w:rPr/>
        <w:t xml:space="preserve"> </w:t>
      </w:r>
      <w:r>
        <w:rPr>
          <w:i/>
          <w:iCs/>
        </w:rPr>
        <w:t>techno-logistiques</w:t>
      </w:r>
    </w:p>
    <w:p>
      <w:pPr>
        <w:pStyle w:val="BodyText"/>
        <w:rPr/>
      </w:pPr>
      <w:r>
        <w:rPr/>
        <w:t>Entre la fin du Néolithique et l’émergence des premières cités, un seuil nouveau de complexité régulatrice est franchi. La mise en ordre du lien collectif n’est plus assurée principalement par le différé symbolique, le retrait sacral ou la médiation rituelle, mais par des dispositifs intégrés, durables et opératoires articulant formes spatiales, flux logistiques et fonctions spécialisées.</w:t>
      </w:r>
    </w:p>
    <w:p>
      <w:pPr>
        <w:pStyle w:val="BodyText"/>
        <w:rPr/>
      </w:pPr>
      <w:r>
        <w:rPr/>
        <w:t>C’est dans ce cadre que la notion de mégamachine, élaborée par Lewis Mumford, devient décisive. Elle ne désigne pas une machine au sens technique, mais une organisation sociale machinique capable de synchroniser des populations humaines élargies à travers la convergence d’architectures, de cadences, de tâches et de circuits. Ce qui change ici n’est pas d’abord l’intention politique des groupes, mais le plan d’effectuation de la régulation : on ne tient plus ensemble principalement par le mythe, le masque ou l’interdit, mais par l’agencement fonctionnel des opérations.</w:t>
      </w:r>
    </w:p>
    <w:p>
      <w:pPr>
        <w:pStyle w:val="BodyText"/>
        <w:rPr/>
      </w:pPr>
      <w:r>
        <w:rPr/>
        <w:t>Le régime techno-logistique n’efface pas brutalement les formes antérieures ; il les recompose et les intègre dans une logique plus abstraite, plus visible et plus coordonnée. Le rituel peut subsister, mais il ne suffit plus à lui seul à réguler. L’ordre se matérialise désormais dans la disposition des lieux, dans l’organisation des accès, dans la distribution des tâches, dans la continuité des flux et dans la répétition des séquences.</w:t>
      </w:r>
    </w:p>
    <w:p>
      <w:pPr>
        <w:pStyle w:val="BodyText"/>
        <w:rPr/>
      </w:pPr>
      <w:r>
        <w:rPr/>
        <w:t>Il ne s’agit pas encore de l’État au sens plein, avec souveraineté incarnée, juridicité explicite et centralisation normative. Ce qui tend à émerger, dans ces configurations, est un régime archicratique plus anonyme, plus machinique et plus impersonnel, où l’arcalité se spatialise, où la cratialité se distribue dans les fonctions et les efforts, et où l’archicration se déplace vers une coordination opératoire des segments, des rythmes et des usages. C’est cette mutation que donnent à voir les premières configurations urbaines et logistiques de grande échelle.</w:t>
      </w:r>
    </w:p>
    <w:p>
      <w:pPr>
        <w:pStyle w:val="BodyText"/>
        <w:rPr/>
      </w:pPr>
      <w:r>
        <w:rPr/>
        <w:t>L’un des traits les plus décisifs de ce régime est sa capacité à produire de la régulation par organisation spatiale et segmentation fonctionnelle. La co-viabilité n’y est plus principalement articulée autour d’une scène rituelle ou d’un cycle symbolique, mais à travers des dispositifs intégrés où formes architecturales, circulations et fonctions spécialisées composent une structuration opératoire de grande échelle.</w:t>
      </w:r>
    </w:p>
    <w:p>
      <w:pPr>
        <w:pStyle w:val="BodyText"/>
        <w:rPr/>
      </w:pPr>
      <w:r>
        <w:rPr/>
        <w:t>Cette logique apparaît avec netteté dans les premières configurations urbaines de Mésopotamie méridionale, notamment à Uruk, entre le IVᵉ et le IIIᵉ millénaire avant notre ère. Les grands ensembles monumentaux — ziggourats, temples, espaces administratifs — ne relèvent pas d’un ornement symbolique, mais d’une structuration spatiale du lien collectif. Ils fixent les places, organisent les circulations et distribuent les accès. L’arcalité s’y matérialise dans l’orientation des axes, la hiérarchisation des volumes et l’assignation fonctionnelle des zones.</w:t>
      </w:r>
    </w:p>
    <w:p>
      <w:pPr>
        <w:pStyle w:val="BodyText"/>
        <w:rPr/>
      </w:pPr>
      <w:r>
        <w:rPr/>
        <w:t>Autour du complexe de l’Eanna, dédié à Inanna, cette structuration atteint un degré remarquable de précision. L’enchaînement des seuils, la différenciation des niveaux et la distribution des parcours produisent une modulation progressive des statuts. Franchir un espace, c’est changer de position dans l’ordre collectif. La régulation ne procède pas d’un énoncé, mais de la configuration même du lieu.</w:t>
      </w:r>
    </w:p>
    <w:p>
      <w:pPr>
        <w:pStyle w:val="BodyText"/>
        <w:rPr/>
      </w:pPr>
      <w:r>
        <w:rPr/>
        <w:t>Ce principe se retrouve, sous une autre forme, dans l’urbanisme planifié de la vallée de l’Indus, notamment à Mohenjo-Daro. La division entre citadelle surélevée et ville basse, l’uniformisation des matériaux, l’organisation des réseaux hydrauliques et la présence d’équipements collectifs traduisent une mise en ordre systémique. L’espace y fonctionne comme matrice de régularité : il rend les usages prévisibles, les circulations compatibles et les fonctions ajustables.</w:t>
      </w:r>
    </w:p>
    <w:p>
      <w:pPr>
        <w:pStyle w:val="BodyText"/>
        <w:rPr/>
      </w:pPr>
      <w:r>
        <w:rPr/>
        <w:t>Des configurations analogues apparaissent en Égypte prédynastique, dès Nagada II. L’organisation des complexes funéraires, la structuration des zones d’activité et la monumentalisation progressive des enceintes traduisent une différenciation spatiale des positions et des rôles. L’ordre social s’y inscrit dans la disposition des lieux, sans nécessité d’être formulé comme règle explicite.</w:t>
      </w:r>
    </w:p>
    <w:p>
      <w:pPr>
        <w:pStyle w:val="BodyText"/>
        <w:rPr/>
      </w:pPr>
      <w:r>
        <w:rPr/>
        <w:t>Dans l’ensemble de ces cas, la régulation passe de plus en plus visiblement par la configuration même de l’espace, sans que disparaissent pour autant le récit, l’interdit ou la médiation symbolique qui continuent d’en orienter certains usages. L’arcalité se construit, la cratialité se distribue dans les parcours et les affectations, et l’archicration s’opère à travers l’ajustement continu des positions dans une structure qui oriente sans avoir à se dire.</w:t>
      </w:r>
    </w:p>
    <w:p>
      <w:pPr>
        <w:pStyle w:val="BodyText"/>
        <w:rPr/>
      </w:pPr>
      <w:r>
        <w:rPr/>
        <w:t>Plus qu’une architecture de l’espace, la mégamachine se donne comme une écologie politique des flux matériels. L’extraction, le stockage, la circulation et la redistribution des ressources n’y sont pas des opérations secondaires : elles constituent le cœur même de la régulation, en structurant les manques, les parcours et les tensions.</w:t>
      </w:r>
    </w:p>
    <w:p>
      <w:pPr>
        <w:pStyle w:val="BodyText"/>
        <w:rPr/>
      </w:pPr>
      <w:r>
        <w:rPr/>
        <w:t>Cette logique est visible dans les grands silos, les enceintes de stockage et les réseaux hydrauliques attestés à Tell Brak, Mari ou Lagash. L’eau, le grain, l’huile et les réserves ne sont pas seulement des biens vitaux : ils deviennent des opérateurs de structuration, parce qu’ils organisent les accès, hiérarchisent les usages et répartissent les responsabilités. L’arcalité tend ici à se déposer dans les infrastructures elles-mêmes, dans les tracés, les réserves et les dispositifs de mesure, qui deviennent les relais concrets d’un ordre opératoire.</w:t>
      </w:r>
    </w:p>
    <w:p>
      <w:pPr>
        <w:pStyle w:val="BodyText"/>
        <w:rPr/>
      </w:pPr>
      <w:r>
        <w:rPr/>
        <w:t>La cratialité, quant à elle, se mobilise dans la répartition des tâches, dans l’affectation des efforts et dans la calibration des séquences productives. Les tablettes d’assignation de Nippur montrent déjà une distribution précise des fonctions selon les jours, les secteurs et les rendements. La puissance n’est plus contenue dans une scène rituelle : elle devient énergie canalisée, effort réparti, activité rendue compatible avec l’ensemble du système.</w:t>
      </w:r>
    </w:p>
    <w:p>
      <w:pPr>
        <w:pStyle w:val="BodyText"/>
        <w:rPr/>
      </w:pPr>
      <w:r>
        <w:rPr/>
        <w:t>À Ebla, les archives administratives du palais G donnent à voir une autre dimension de cette mutation : la lisibilité des flux. Les inventaires, les quotas et les suivis de circulation n’instaurent pas encore un ordre juridique autonome, mais ils permettent de maintenir la coordination matérielle à grande échelle. L’archicration ne se situe plus principalement dans un rite ou une parole différée : elle prend la forme d’une séquence opératoire continue, où la régulation tient à la possibilité de suivre, d’ajuster et de transmettre les opérations.</w:t>
      </w:r>
    </w:p>
    <w:p>
      <w:pPr>
        <w:pStyle w:val="BodyText"/>
        <w:rPr/>
      </w:pPr>
      <w:r>
        <w:rPr/>
        <w:t>Dans un tel régime, l’interdépendance matérielle devient elle-même principe de cohérence collective. Le canal, le silo, la réserve, la pesée ou l’inventaire ne se contentent pas d’accompagner le lien social : ils en assurent la tenue concrète. La mégamachine ne gouverne pas en disant ce qu’il faut faire ; elle régule en rendant possible ce qui doit être effectué, maintenu et redistribué.</w:t>
      </w:r>
    </w:p>
    <w:p>
      <w:pPr>
        <w:pStyle w:val="BodyText"/>
        <w:rPr/>
      </w:pPr>
      <w:r>
        <w:rPr/>
        <w:t>Ce régime techno-logistique, s’il trouve des expressions particulièrement précoces et puissantes dans les bassins fluviaux de Mésopotamie et de la vallée de l’Indus, ne s’y réduit pas. Sa singularité tient précisément à sa plasticité : il peut émerger dans des contextes écologiques et symboliques très différents, dès lors qu’une société parvient à stabiliser sa co-viabilité à travers l’agencement de formes, de flux et de fonctions.</w:t>
      </w:r>
    </w:p>
    <w:p>
      <w:pPr>
        <w:pStyle w:val="BodyText"/>
        <w:rPr/>
      </w:pPr>
      <w:r>
        <w:rPr/>
        <w:t>Caral-Supe, au Pérou, en offre une première variation remarquable. Dans ce complexe côtier pré-céramique, sans écriture ni appareil coercitif centralisé, l’organisation de pyramides, de terrasses, d’amphithéâtres et de structures de stockage dessine une infrastructure de grande échelle où la régulation passe par la forme bâtie, la circulation des ressources et la coordination inter-vallées. L’arcalité s’y inscrit dans l’agencement monumental, la cratialité dans la mobilisation continue des énergies humaines et des échanges, et l’archicration dans une synchronisation cérémonielle du territoire qui distribue les parcours et les accès sans recourir à un centre souverain visible.</w:t>
      </w:r>
    </w:p>
    <w:p>
      <w:pPr>
        <w:pStyle w:val="BodyText"/>
        <w:rPr/>
      </w:pPr>
      <w:r>
        <w:rPr/>
        <w:t>Sanxingdui, dans le Sichuan, donne à voir une autre déclinaison du même régime. Ici, la production du bronze, la séparation des chaînes opératoires, l’accumulation rituelle et l’enfouissement différentiel des objets composent une régulation où la cohérence collective repose sur la coordination des séquences de production, de stockage et de retrait. L’ordre n’y est pas proclamé : il se tient dans l’agencement des procédés, la hiérarchisation implicite des fonctions et la scénographie matérielle de l’enfouissement.</w:t>
      </w:r>
    </w:p>
    <w:p>
      <w:pPr>
        <w:pStyle w:val="BodyText"/>
        <w:rPr/>
      </w:pPr>
      <w:r>
        <w:rPr/>
        <w:t>Ces deux cas montrent que la mégamachine n’est ni un modèle unique, ni une simple étape vers l’État. Elle constitue un type archicratique différencié, capable de produire de la cohérence sans bureaucratie explicite ni souveraineté centralisée, dès lors qu’un système parvient à rendre compatibles les formes, les flux et les opérations qui assurent la tenue du collectif.</w:t>
      </w:r>
    </w:p>
    <w:p>
      <w:pPr>
        <w:pStyle w:val="BodyText"/>
        <w:rPr/>
      </w:pPr>
      <w:r>
        <w:rPr/>
        <w:t>Dans le régime techno-logistique, l’une des inflexions décisives de la régulation réside dans l’apparition de supports de traçabilité, de standards opératoires et de séquences temporelles capables d’assurer la continuité des opérations sans recours constant à la médiation rituelle ou à la parole. La régulation ne repose plus seulement sur des formes visibles ou sur la coordination des flux matériels : elle s’inscrit désormais dans des dispositifs qui rendent les activités suivables, comparables et ajustables.</w:t>
      </w:r>
    </w:p>
    <w:p>
      <w:pPr>
        <w:pStyle w:val="BodyText"/>
        <w:rPr/>
      </w:pPr>
      <w:r>
        <w:rPr/>
        <w:t>Les premières tablettes proto-cunéiformes d’Uruk IV, étudiées notamment par Hans J. Nissen, témoignent de cette mutation. Elles ne fondent pas encore un ordre juridique autonome, mais permettent de suivre des biens, des tâches et des affectations. De même, les standards de mesure — sila, gur, mina — et les unités de stockage rendent les flux compatibles entre eux. L’arcalité se déplace ici vers des supports matériels de stabilisation : sceaux, tablettes, pesées, marques et métriques deviennent les relais concrets d’un ordre opératoire.</w:t>
      </w:r>
    </w:p>
    <w:p>
      <w:pPr>
        <w:pStyle w:val="BodyText"/>
        <w:rPr/>
      </w:pPr>
      <w:r>
        <w:rPr/>
        <w:t>La cratialité, dans ce contexte, se mobilise à travers la répartition des efforts, la calibration des rendements et la distribution temporelle des activités. Les tablettes de Shuruppak, de Nippur ou d’Ebla montrent déjà une logique de coordination où l’énergie humaine est affectée, séquencée et rendue disponible selon des fonctions déterminées. On peut voir apparaître ici une forme minimale d’archicration, non plus concentrée dans une scène rituelle distincte, mais déplacée vers la possibilité de suivre, corriger, transmettre et reprendre les opérations sans rupture du circuit.</w:t>
      </w:r>
    </w:p>
    <w:p>
      <w:pPr>
        <w:pStyle w:val="BodyText"/>
        <w:rPr/>
      </w:pPr>
      <w:r>
        <w:rPr/>
        <w:t>Cette mutation s’approfondit lorsque le temps lui-même devient opérateur de régulation. Les calendriers mésopotamiens, associés aux récoltes, aux prélèvements, aux tournées de collecte ou aux périodes de stockage, ne se contentent plus d’accompagner le rythme cosmique : ils organisent des séquences opératoires, répartissent les charges et rendent prévisible la coordination des actes. Le temps cesse d’être principalement cyclique ou cérémoniel ; il devient aussi linéaire, cumulatif et programmatique.</w:t>
      </w:r>
    </w:p>
    <w:p>
      <w:pPr>
        <w:pStyle w:val="BodyText"/>
        <w:rPr/>
      </w:pPr>
      <w:r>
        <w:rPr/>
        <w:t>Dans un tel régime, la régulation ne passe plus par l’événement rituel, mais par la tenue des séquences, la répétition des tâches et la compatibilité des échéances. La mémoire elle-même n’est plus seulement oralisée ou mythique : elle est inscrite, datée, comptée, objectivée. Ce qui se met alors en place, ce n’est pas une simple administration froide, mais une infrastructure de comparution continue, dans laquelle le collectif se maintient parce que les flux, les charges, les mesures et les rythmes peuvent être coordonnés à grande échelle.</w:t>
      </w:r>
    </w:p>
    <w:p>
      <w:pPr>
        <w:pStyle w:val="BodyText"/>
        <w:rPr/>
      </w:pPr>
      <w:r>
        <w:rPr/>
        <w:t>On peut enfin parler, à titre secondaire, d’une somato-normativité techno-logistique, dès lors que les corps eux-mêmes deviennent les supports incorporés de ces cadences, de ces tolérances et de ces séquences. Il ne s’agit pas d’un archétype autonome, mais d’un pli interne du régime : la norme se manifeste ici dans l’endurance, dans l’usure, dans les rythmes imposés, dans les seuils de tolérance que l’organisation exige et révèle tout à la fois.</w:t>
      </w:r>
    </w:p>
    <w:p>
      <w:pPr>
        <w:pStyle w:val="BodyText"/>
        <w:rPr/>
      </w:pPr>
      <w:r>
        <w:rPr/>
        <w:t>La mégamachine techno-logistique peut être traitée comme une forme archicratique autonome, dès lors que la co-viabilité y repose principalement sur la coordination continue des formes, des flux, des mesures et des séquences, davantage que sur le seul récit, le rite ou l’interdit. L’ordre n’y émane ni d’un centre visible ni d’une parole souveraine : il se diffuse à travers l’agencement des infrastructures, la compatibilité des opérations et la tenue des rythmes qui rendent la reproduction collective possible.</w:t>
      </w:r>
    </w:p>
    <w:p>
      <w:pPr>
        <w:pStyle w:val="BodyText"/>
        <w:rPr/>
      </w:pPr>
      <w:r>
        <w:rPr/>
        <w:t>Il ne s’agit pas d’un simple prélude à l’État, ni d’une rationalisation purement technique du lien social. Ce régime possède sa consistance propre : l’arcalité y est architecture et métrique, la cratialité mobilisée et distribuée dans les tâches, les charges et les circuits, l’archicration assurée par la continuité procédurale des opérations. La régulation ne s’y donne plus comme scène symbolique centrale, mais comme maintien systémique d’un ordre opératoire capable d’absorber les tensions sans avoir à les représenter pleinement.</w:t>
      </w:r>
    </w:p>
    <w:p>
      <w:pPr>
        <w:pStyle w:val="BodyText"/>
        <w:rPr/>
      </w:pPr>
      <w:r>
        <w:rPr/>
        <w:t>Ce méta-régime révèle ainsi une mutation décisive : la possibilité, pour une société, de tenir ensemble par l’efficacité coordonnée de ses agencements plutôt que par la seule intensité de ses croyances communes. Il fait de cette coordination un type irréductible de co-viabilité.</w:t>
      </w:r>
    </w:p>
    <w:p>
      <w:pPr>
        <w:pStyle w:val="BodyText"/>
        <w:rPr/>
      </w:pPr>
      <w:r>
        <w:rPr/>
        <w:t>Un tableau de synthèse de ce méta-régime est reporté en annexe. Cette continuité opératoire ouvre bientôt sur un autre seuil : celui où la coordination des flux cesse d’être seulement logistique pour devenir explicitement scripturale, normative et institutionnellement stabilisée.</w:t>
      </w:r>
    </w:p>
    <w:p>
      <w:pPr>
        <w:pStyle w:val="Heading3"/>
        <w:numPr>
          <w:ilvl w:val="2"/>
          <w:numId w:val="2"/>
        </w:numPr>
        <w:rPr/>
      </w:pPr>
      <w:r>
        <w:rPr/>
        <w:t xml:space="preserve">2.2.4 — </w:t>
      </w:r>
      <w:r>
        <w:rPr>
          <w:i/>
          <w:iCs/>
        </w:rPr>
        <w:t>Archicrations scripturo-normatives</w:t>
      </w:r>
    </w:p>
    <w:p>
      <w:pPr>
        <w:pStyle w:val="BodyText"/>
        <w:rPr/>
      </w:pPr>
      <w:r>
        <w:rPr/>
        <w:t>À partir du tournant du troisième millénaire avant notre ère, dans plusieurs régions du Croissant fertile, un nouveau mode de régulation se constitue, distinct des méta-régimes sacraux et techno-logistiques, sans pour autant s’en détacher absolument. Ce qui émerge alors n’est plus une coordination des flux ou une stabilisation symbolique du lien, mais une normativité appuyée sur l’inscription : la règle peut être écrite, conservée, reproduite, invoquée et réactivée en l’absence de son énonciateur.</w:t>
      </w:r>
    </w:p>
    <w:p>
      <w:pPr>
        <w:pStyle w:val="BodyText"/>
        <w:rPr/>
      </w:pPr>
      <w:r>
        <w:rPr/>
        <w:t>L’archicration scripturo-normative ne se réduit ni à un simple progrès des techniques de mémoire, ni à une extension des dispositifs administratifs. Elle correspond à une mutation de la validité sociale elle-même : l’obligation ne vaut plus seulement par sa ritualisation, sa matérialité ou son incorporation, mais de plus en plus par sa formulation sous une forme traçable, reproductible et opposable. L’écriture cesse d’enregistrer ce qui est ; elle devient l’un des médiums par lesquels se fixe ce qui doit être.</w:t>
      </w:r>
    </w:p>
    <w:p>
      <w:pPr>
        <w:pStyle w:val="BodyText"/>
        <w:rPr/>
      </w:pPr>
      <w:r>
        <w:rPr/>
        <w:t>Dans ce régime, l’arcalité se recompose à travers des listes, des registres, des catégories, des généalogies et des formules typées qui stabilisent les appartenances et les places. Comme l’a montré Jack Goody, l’écriture opère une double dissociation : elle externalise la mémoire et détache l’autorité de la parole immédiate. La norme devient alors cumulable, duplicable, transportable et mobilisable dans des contextes différés.</w:t>
      </w:r>
    </w:p>
    <w:p>
      <w:pPr>
        <w:pStyle w:val="BodyText"/>
        <w:rPr/>
      </w:pPr>
      <w:r>
        <w:rPr/>
        <w:t>La cratialité, dès lors, ne repose plus seulement sur la présence d’un centre ou sur l’effectuation matérielle d’un ordre, mais sur la capacité d’un contenu écrit à activer des conduites, à encadrer des actions et à servir de référence dans un différend. Quant à l’archicration, elle se déploie dans l’écart entre l’inscription normative et les situations concrètes où celle-ci doit être reconnue, interprétée, ajustée et rendue opératoire. C’est cette configuration que donnent à voir les premières formes de juridicité et d’archivage scriptural en Mésopotamie.</w:t>
      </w:r>
    </w:p>
    <w:p>
      <w:pPr>
        <w:pStyle w:val="BodyText"/>
        <w:rPr/>
      </w:pPr>
      <w:r>
        <w:rPr/>
        <w:t>Les premières manifestations claires de cette dynamique se trouvent à Lagash et à Ur, à la fin du IIIe millénaire avant notre ère. Le code d’Ur-Nammu, souvent considéré comme l’un des premiers ensembles normatifs formulés de manière conditionnelle, marque un seuil important : l’écrit n’y enregistre plus seulement des transactions ou des affectations, il formule des règles transmissibles et susceptibles d’être invoquées dans le traitement des différends. Il faut certes se garder des lectures téléologiques qui en feraient le simple prélude du droit moderne ; mais il reste que l’inscription y acquiert une puissance de validité autonome, irréductible à la seule oralité rituelle ou à la présence d’une autorité incarnée.</w:t>
      </w:r>
    </w:p>
    <w:p>
      <w:pPr>
        <w:pStyle w:val="BodyText"/>
        <w:rPr/>
      </w:pPr>
      <w:r>
        <w:rPr/>
        <w:t>Dans ce régime, les scribes occupent une fonction décisive. Ils ne gouvernent pas à proprement parler, mais rendent possible l’activation des normes en stabilisant, vérifiant, recopiant et transmettant les inscriptions. Leur autorité ne repose pas sur une souveraineté personnelle, mais sur leur place dans une chaîne de validation scripturale. Loin d’effacer les hiérarchies, cette médiation les reconfigure : le pouvoir passe par ceux qui savent produire, lire et faire valoir les formes écrites reconnues comme légitimes.</w:t>
      </w:r>
    </w:p>
    <w:p>
      <w:pPr>
        <w:pStyle w:val="BodyText"/>
        <w:rPr/>
      </w:pPr>
      <w:r>
        <w:rPr/>
        <w:t>Cette logique se donne pleinement à voir dans les grandes pratiques d’archivage, notamment à Mari. Les tablettes conservées dans les palais n’y constituent pas une mémoire inerte, mais une infrastructure active de régulation : elles sont classées, relues, confrontées et réactivées selon les situations. L’archicration scripturo-normative se laisse ici comprendre moins comme l’application automatique d’une règle fixée une fois pour toutes que comme la capacité à mobiliser des inscriptions disponibles dans un champ de références hiérarchisées.</w:t>
      </w:r>
    </w:p>
    <w:p>
      <w:pPr>
        <w:pStyle w:val="BodyText"/>
        <w:rPr/>
      </w:pPr>
      <w:r>
        <w:rPr/>
        <w:t>Les contrats retrouvés à Larsa, Sippar ou Eshnunna confirment cette plasticité. Comme l’a montré Dominique Charpin, les clauses y sont relativement stables, mais leur activation varie selon les contextes, les annotations, les copies, les suppressions ou les lectures situées. L’écriture ne dicte pas mécaniquement la décision : elle rend possible un arbitrage fondé sur des énoncés de référence, des statuts reconnus, des témoins, des duplicata et des supports conservés. La norme n’y vaut donc pas indépendamment de son inscription, mais par sa capacité à être convoquée, comparée et rendue opératoire dans un cas donné.</w:t>
      </w:r>
    </w:p>
    <w:p>
      <w:pPr>
        <w:pStyle w:val="BodyText"/>
        <w:rPr/>
      </w:pPr>
      <w:r>
        <w:rPr/>
        <w:t>La normativité scripturale repose sur des structures concrètes : formules conditionnelles, listes de parties, clauses typées, registres d’identification, séquences de validation, hiérarchies d’énoncés. Il ne s’agit pas d’un code figé au sens moderne, mais d’une grammaire opératoire qui rend les situations comparables, les obligations formulables et les différends traitables. La règle écrite n’abolit pas le conflit ; elle en encadre le traitement à travers des formes stabilisées d’énonciation.</w:t>
      </w:r>
    </w:p>
    <w:p>
      <w:pPr>
        <w:pStyle w:val="BodyText"/>
        <w:rPr/>
      </w:pPr>
      <w:r>
        <w:rPr/>
        <w:t>Cette logique ne se limite pas à la Mésopotamie paléo-babylonienne, même si celle-ci en offre l’un des foyers les plus denses. L’Égypte pharaonique, avec ses registres fiscaux, ses décrets et ses procédures administratives, manifeste elle aussi une scripturalité régulatrice, plus centralisée dans ses formes, mais comparable par ses effets de validation différée et de reconnaissance documentaire. Il s’agit donc moins d’un modèle unique que d’une famille de configurations où l’écriture devient médiation normative.</w:t>
      </w:r>
    </w:p>
    <w:p>
      <w:pPr>
        <w:pStyle w:val="BodyText"/>
        <w:rPr/>
      </w:pPr>
      <w:r>
        <w:rPr/>
        <w:t>L’une des expressions les plus précoces et les plus fortes de ce régime se trouve dans la scripturo-fiscalité et la logique cadastrale. Ici, la norme ne réside ni dans la proclamation ni dans l’interprétation doctrinale, mais dans l’exigibilité inscrite : listes de redevances, registres de tribut, comptes de grain, tablettes d’imposition ou cadastres rendent les obligations lisibles, calculables et périodiquement réactivables. Le texte agit alors à la fois comme fondement de ce qui est dû et comme dispositif où cette dette est exposée, assignée et reconduite.</w:t>
      </w:r>
    </w:p>
    <w:p>
      <w:pPr>
        <w:pStyle w:val="BodyText"/>
        <w:rPr/>
      </w:pPr>
      <w:r>
        <w:rPr/>
        <w:t>La scène d’épreuve devient dès lors principalement documentaire : moins une arène discursive autonome qu’un espace d’inscription, de révision et, parfois, de rectification des obligations. La temporalité fiscale, rythmée par les levées, les révisions et les échéances, produit une cadence d’exigibilité dans laquelle l’écrit peut fonctionner soit comme simple répétition coercitive, soit comme support d’ajustement lorsqu’existent des formes de remise, de report ou de requalification. L’archicration scripturo-fiscale apparaît ainsi comme l’une des matrices les plus précoces de la régulation par inscription, activation et exécution différée.</w:t>
      </w:r>
    </w:p>
    <w:p>
      <w:pPr>
        <w:pStyle w:val="BodyText"/>
        <w:rPr/>
      </w:pPr>
      <w:r>
        <w:rPr/>
        <w:t>À mesure que l’écriture s’installe comme infrastructure de régulation, elle ne se borne plus à fixer des obligations : elle distribue des positions, des accès et des capacités de reconnaissance. Le statut social n’existe plus seulement par appartenance coutumière ou mémoire collective ; il acquiert une consistance nouvelle lorsqu’il peut être enregistré, attesté, invoqué et réinscrit dans une chaîne documentaire. Comme l’a montré Dominique Charpin à propos de Mari, ce que l’on appelle statut ou qualité n’est jamais une donnée brute : il dépend de sa possibilité d’être validé dans et par l’écrit.</w:t>
      </w:r>
    </w:p>
    <w:p>
      <w:pPr>
        <w:pStyle w:val="BodyText"/>
        <w:rPr/>
      </w:pPr>
      <w:r>
        <w:rPr/>
        <w:t>La cratialité, dans ce régime, se déplace alors vers la maîtrise des procédures d’inscription et d’activation. Savoir produire une clause, convoquer un précédent, faire valoir un témoignage écrit ou mobiliser un duplicata devient une capacité d’action régulatrice décisive. Cette asymétrie apparaît avec force dans les contrats de mariage, d’héritage ou d’émancipation, où tous les sujets ne disposent pas du même accès à la parole scripturale et à ses relais : certaines figures ne peuvent intervenir qu’au travers de représentants, de garants ou d’intercesseurs inscrits.</w:t>
      </w:r>
    </w:p>
    <w:p>
      <w:pPr>
        <w:pStyle w:val="BodyText"/>
        <w:rPr/>
      </w:pPr>
      <w:r>
        <w:rPr/>
        <w:t>C’est dans le litige que cette logique se révèle pleinement. La régulation ne consiste pas à appliquer mécaniquement une norme, mais à faire reconnaître la pertinence d’un écrit dans une situation singulière. Contrats, sceaux, tablettes antérieures, duplicata, témoins et annotations composent alors un champ de preuves dont la hiérarchisation permet de stabiliser provisoirement un différend. L’archicration scripturo-normative se loge précisément dans cet espace d’activation, de comparaison et d’arbitrage entre inscriptions disponibles.</w:t>
      </w:r>
    </w:p>
    <w:p>
      <w:pPr>
        <w:pStyle w:val="BodyText"/>
        <w:rPr/>
      </w:pPr>
      <w:r>
        <w:rPr/>
        <w:t>Cette efficacité dépend aussi d’une économie des supports. La matière du document, son lieu de conservation, sa visibilité, sa possibilité d’être copié ou transporté, tout cela participe à son autorité. Comme l’a montré Irene J. Winter, certains supports sont faits pour exposer, d’autres pour sceller, d’autres encore pour conserver une force légale sous retrait. Le support n’est donc jamais neutre : il hiérarchise, qualifie et structure la portée des énoncés.</w:t>
      </w:r>
    </w:p>
    <w:p>
      <w:pPr>
        <w:pStyle w:val="BodyText"/>
        <w:rPr/>
      </w:pPr>
      <w:r>
        <w:rPr/>
        <w:t>Il en résulte une régulation située, asymétrique et plastique. Elle ne suppose pas toujours un centre souverain ni une verticalité absolue : elle peut fonctionner par circulation des documents, interconnexion d’archives, reprise de précédents et ajustement des cas. Mais elle n’est pas pour autant égalitaire. L’écriture sélectionne, rend visibles certains liens, en médiatise d’autres, et distribue inégalement les capacités de reconnaissance. C’est en cela qu’elle constitue un régime archicratique spécifique : une grammaire documentaire de la validation, de la preuve et de l’ajustement différé.</w:t>
      </w:r>
    </w:p>
    <w:p>
      <w:pPr>
        <w:pStyle w:val="BodyText"/>
        <w:rPr/>
      </w:pPr>
      <w:r>
        <w:rPr/>
        <w:t>L’archicration scripturo-normative introduit une mutation décisive dans l’histoire des régulations : l’ordre peut désormais être formulé, conservé, réactivé et opposé au-delà de la présence de ceux qui l’énoncent. L’écriture n’est pas ici un simple auxiliaire de mémoire ou d’administration ; elle devient une infrastructure de validité, capable de stabiliser des obligations, de différer leur activation et d’organiser la reconnaissance à travers des chaînes documentaires.</w:t>
      </w:r>
    </w:p>
    <w:p>
      <w:pPr>
        <w:pStyle w:val="BodyText"/>
        <w:rPr/>
      </w:pPr>
      <w:r>
        <w:rPr/>
        <w:t>Ce régime ne produit pas seulement de la continuité : il distribue aussi des asymétries. Tous n’accèdent pas de la même manière à l’inscription, à la lecture, à la preuve ou à la capacité de faire valoir un texte. La normativité scripturale sélectionne, hiérarchise et rend visibles certains liens plutôt que d’autres. En cela, elle ne supprime ni le conflit ni l’interprétation ; elle les reconfigure dans un espace documentaire où les différends deviennent traitables à travers des formes écrites, des supports reconnus et des procédures d’activation différée.</w:t>
      </w:r>
    </w:p>
    <w:p>
      <w:pPr>
        <w:pStyle w:val="BodyText"/>
        <w:rPr/>
      </w:pPr>
      <w:r>
        <w:rPr/>
        <w:t>Ce méta-régime montre ainsi qu’une société peut produire de la co-viabilité non plus seulement par le rite, la fonction ou l’agencement matériel, mais par une grammaire documentaire de l’obligation, de la preuve et de la reconnaissance. L’écriture y apparaît comme un opérateur archicratique central : elle stabilise, qualifie, rend plus aisément mobilisable dans le différend, tout en ouvrant un espace nouveau de sélection, d’interprétation et de pouvoir différé.</w:t>
      </w:r>
    </w:p>
    <w:p>
      <w:pPr>
        <w:pStyle w:val="BodyText"/>
        <w:rPr/>
      </w:pPr>
      <w:r>
        <w:rPr/>
        <w:t>Un tableau de synthèse de ce méta-régime est reporté en annexe.</w:t>
      </w:r>
    </w:p>
    <w:p>
      <w:pPr>
        <w:pStyle w:val="BodyText"/>
        <w:rPr/>
      </w:pPr>
      <w:r>
        <w:rPr/>
        <w:t>Mais cette stabilité documentaire ouvre bientôt sur une autre transformation : celle où l’écriture cesse d’être seulement opérateur de normativité pour devenir support de transcendance, de canon et d’autorité textuelle supérieure. C’est à cette inflexion qu’est consacrée la sous-section suivante.</w:t>
      </w:r>
    </w:p>
    <w:p>
      <w:pPr>
        <w:pStyle w:val="Heading3"/>
        <w:numPr>
          <w:ilvl w:val="2"/>
          <w:numId w:val="2"/>
        </w:numPr>
        <w:rPr/>
      </w:pPr>
      <w:r>
        <w:rPr/>
        <w:t xml:space="preserve">2.2.5 — </w:t>
      </w:r>
      <w:r>
        <w:rPr>
          <w:i/>
          <w:iCs/>
        </w:rPr>
        <w:t>Archicrations scripturo-cosmologiques</w:t>
      </w:r>
    </w:p>
    <w:p>
      <w:pPr>
        <w:pStyle w:val="BodyText"/>
        <w:rPr/>
      </w:pPr>
      <w:r>
        <w:rPr/>
        <w:t>Il existe des configurations régulatrices dans lesquelles la normativité ne procède ni d’un sujet énonciateur, ni d’un code juridico-prescriptif, ni de la révélation d’un commandement divin, mais de la reconnaissance d’un ordre cosmique préalable. Dans ce méta-régime, l’écriture n’édicte pas la règle : elle rend visible une structure du monde tenue pour stable, hiérarchisée et intelligible, à laquelle les conduites doivent s’ajuster pour demeurer viables.</w:t>
      </w:r>
    </w:p>
    <w:p>
      <w:pPr>
        <w:pStyle w:val="BodyText"/>
        <w:rPr/>
      </w:pPr>
      <w:r>
        <w:rPr/>
        <w:t>L’archicration scripturo-cosmologique repose ainsi sur une forme de régulation où le texte n’impose pas, mais expose ; où la contrainte ne vient pas d’un ordre formulé, mais du désajustement lisible entre les gestes, les temps, les lieux et l’architecture du cosmos telle qu’elle est transcrite. L’arcalité s’y manifeste comme structure externe à l’humain mais immanente au monde, la cratialité comme tenue collective de l’alignement, et l’archicration comme scène d’activation située entre texte, geste, ciel et lieu.</w:t>
      </w:r>
    </w:p>
    <w:p>
      <w:pPr>
        <w:pStyle w:val="BodyText"/>
        <w:rPr/>
      </w:pPr>
      <w:r>
        <w:rPr/>
        <w:t xml:space="preserve">L’arcalité se manifeste par la reconnaissance d’une structure cosmique intelligible, fondée sur des relations ordonnées entre les sphères, les éléments, les temporalités, les orientations. L’écriture, dans cette configuration, n’est ni révélée ni prescriptive : elle est le moyen de captation, de stabilisation, voire de copie fidèle de cet ordre fondamental. Les grands textes astronomiques mésopotamiens, en particulier le </w:t>
      </w:r>
      <w:r>
        <w:rPr>
          <w:i/>
          <w:iCs/>
        </w:rPr>
        <w:t>MUL.APIN</w:t>
      </w:r>
      <w:r>
        <w:rPr/>
        <w:t xml:space="preserve"> (VIIIe–VIIe s. av. n. è.), n’ont pas pour fonction de prédire ou de planifier, mais de condenser dans une forme scripturaire fixe les relations entre corps célestes, saisons, calendriers, phénomènes météorologiques, et repères agraires. Hunger et Pingree (1989) montrent que le </w:t>
      </w:r>
      <w:r>
        <w:rPr>
          <w:i/>
          <w:iCs/>
        </w:rPr>
        <w:t>MUL.APIN</w:t>
      </w:r>
      <w:r>
        <w:rPr/>
        <w:t xml:space="preserve"> ne propose pas une table de calculs, mais une cosmographie intégrale, qui permet de situer les actes humains dans une trame intelligible : choix des dates rituelles, orientation des sacrifices, délimitation des champs, planification des déplacements. Ce n’est pas une norme au sens juridique : c’est une topologie du monde qui contraint par la clarté de sa configuration. La faute, ici, n’est pas une désobéissance, mais un dérèglement des correspondances.</w:t>
      </w:r>
    </w:p>
    <w:p>
      <w:pPr>
        <w:pStyle w:val="BodyText"/>
        <w:rPr/>
      </w:pPr>
      <w:r>
        <w:rPr/>
        <w:t xml:space="preserve">Cette conception s’observe aussi dans la tradition funéraire égyptienne. Le </w:t>
      </w:r>
      <w:r>
        <w:rPr>
          <w:i/>
          <w:iCs/>
        </w:rPr>
        <w:t>Livre des morts</w:t>
      </w:r>
      <w:r>
        <w:rPr/>
        <w:t xml:space="preserve">, notamment dans ses versions du Nouvel Empire (XVIe–XIe s. av. n. è.), ne se présente pas comme un recueil de lois, mais comme une cartographie posthume du monde invisible, dans laquelle le défunt doit se mouvoir en respectant les orientations, les formules, les seuils. Le chapitre 125, consacré à la pesée du cœur, n’interroge pas l’individu selon un critère moral subjectif, mais selon sa tenue conforme à la </w:t>
      </w:r>
      <w:r>
        <w:rPr>
          <w:i/>
          <w:iCs/>
        </w:rPr>
        <w:t>Maât</w:t>
      </w:r>
      <w:r>
        <w:rPr/>
        <w:t>, principe de juste mesure cosmique. Erik Hornung (1999) note que les formules prononcées par le défunt ne servent pas à convaincre un juge, mais à prouver par la parole rituelle que la vie du défunt fut alignée avec l’agencement du monde. Le texte n’est pas une sentence : il est le modèle de stabilité auquel on se réfère pour mesurer l’âme.</w:t>
      </w:r>
    </w:p>
    <w:p>
      <w:pPr>
        <w:pStyle w:val="BodyText"/>
        <w:rPr/>
      </w:pPr>
      <w:r>
        <w:rPr/>
        <w:t>La cratialité, dans ce régime, ne s’exerce ni par coercition ni par commandement. Elle réside dans la force régulatrice des structures cycliques et dans la nécessité de se tenir à ce qui a été inscrit comme régularité cosmique. Le texte contraint non parce qu’il menace, mais parce qu’il rend le désajustement immédiatement lisible. La répétition correcte des pratiques — au bon moment, dans le bon ordre, selon le bon schéma — devient ainsi la condition silencieuse de la validité collective. Dans le domaine agraire, le désalignement d’un rite avec un cycle saisonnier, identifié grâce à un corpus comme le MUL.APIN, pouvait produire une dissonance perçue comme dangereuse, tant dans ses effets symboliques que matériels : récolte déréglée, instabilité météorologique, troubles sociaux. La régulation n’est donc pas punitive, mais systémique : chaque geste mal calé est un facteur de désordre général. L’efficacité du texte est proportionnelle à sa capacité à soutenir la continuité rythmique des cycles. Il n’y a pas d’ordre à exécuter, mais une structure à entretenir. L’écriture est là pour maintenir la co-viabilité.</w:t>
      </w:r>
    </w:p>
    <w:p>
      <w:pPr>
        <w:pStyle w:val="BodyText"/>
        <w:rPr/>
      </w:pPr>
      <w:r>
        <w:rPr/>
        <w:t>L’</w:t>
      </w:r>
      <w:r>
        <w:rPr>
          <w:i/>
          <w:iCs/>
        </w:rPr>
        <w:t>archicration</w:t>
      </w:r>
      <w:r>
        <w:rPr/>
        <w:t xml:space="preserve"> se donne enfin dans les scènes d’activation rituelle du texte, où ce dernier n’est ni débattu, ni interprété, ni traduit, mais relancé dans sa capacité à tenir le monde ensemble. À Babylone, la célèbre </w:t>
      </w:r>
      <w:r>
        <w:rPr>
          <w:i/>
          <w:iCs/>
        </w:rPr>
        <w:t>Carte du Monde</w:t>
      </w:r>
      <w:r>
        <w:rPr/>
        <w:t xml:space="preserve"> (BM 92687), gravée sur tablette en akkadien au VIIe siècle av. n. è., à dessin planiforme, représente un espace circulaire centré sur Babylone et bordé d’îles périphériques stylisées. Elle ne sert pas à orienter un voyage, mais à stabiliser une disposition spatiale sacrée. Wayne Horowitz (1998) souligne qu’elle matérialise une cosmologie géographique dans laquelle chaque élément est situé selon sa fonction symbolique dans l’ordre d’ensemble. De même, dans la tradition védique ancienne, les hymnes cosmogoniques tels que le </w:t>
      </w:r>
      <w:r>
        <w:rPr>
          <w:i/>
          <w:iCs/>
        </w:rPr>
        <w:t>Nāsadīya Sūkta</w:t>
      </w:r>
      <w:r>
        <w:rPr/>
        <w:t xml:space="preserve"> (</w:t>
      </w:r>
      <w:r>
        <w:rPr>
          <w:i/>
          <w:iCs/>
        </w:rPr>
        <w:t>Ṛgveda</w:t>
      </w:r>
      <w:r>
        <w:rPr/>
        <w:t xml:space="preserve"> 10.129) ne délivrent pas une doctrine sur l’origine du monde, mais rejouent la tension entre indétermination originelle et structuration progressive du réel, par la puissance rituelle de l’énoncé. Jamison et Brereton (2014) analysent que la force de ce passage ne réside pas tant dans ce qu’il affirme, que dans sa capacité à relancer l’ajustement du chant à la structure cosmique, dans le cadre sacrificiel.</w:t>
      </w:r>
    </w:p>
    <w:p>
      <w:pPr>
        <w:pStyle w:val="BodyText"/>
        <w:rPr/>
      </w:pPr>
      <w:r>
        <w:rPr/>
        <w:t>Ces régulations, bien qu’indépendantes de toute autorité instituée, impliquent souvent des agents rituels spécialisés — brahmanes védiques, prêtres-lecteurs égyptiens, scribes-astronomes mésopotamiens. Leur fonction n’est ni de commander ni d’interpréter librement, mais de garantir la justesse de l’activation : gardiens de cadence plus que prescripteurs.</w:t>
      </w:r>
    </w:p>
    <w:p>
      <w:pPr>
        <w:pStyle w:val="BodyText"/>
        <w:rPr/>
      </w:pPr>
      <w:r>
        <w:rPr/>
        <w:t>La scène archicratique n’est donc pas un acte de promulgation. Elle se caractérise par la relecture cadencée, le repositionnement du corps et la synchronisation du rite avec l’agencement du monde tel qu’il est rendu visible par les écrits. Le texte peut être parfois inintelligible : ce n’est pas pour autant un problème, car sa puissance régulatrice tient dans son positionnement, son copiage fidèle, son activation correcte dans un lieu. Son autorité ne repose ni sur un auteur, ni sur une institution, ni sur une volonté divine, mais sur sa capacité à exposer la forme du réel — et à la rendre disponible à l’ajustement. C’est parce que l’écriture donne à voir l’ordre du monde que la conduite devient lisible comme ajustée ou non.</w:t>
      </w:r>
    </w:p>
    <w:p>
      <w:pPr>
        <w:pStyle w:val="BodyText"/>
        <w:rPr/>
      </w:pPr>
      <w:r>
        <w:rPr/>
        <w:t>Dans certains cas, la densité symbolique des textes cosmographiques autorise une herméneutique d’ajustement : non une exégèse doctrinale, mais une marge de variation portant sur la forme correcte de l’activation. Ainsi, les Brāhmaṇa védiques multiplient les gloses sur la justesse de la récitation ou sur les correspondances entre phonème et configuration cosmique, sans jamais sortir du cadre performatif. De même, certaines versions tardives des Textes des pyramides introduisent des variantes d’agencement sans altérer l’architecture d’ensemble.</w:t>
      </w:r>
    </w:p>
    <w:p>
      <w:pPr>
        <w:pStyle w:val="BodyText"/>
        <w:rPr/>
      </w:pPr>
      <w:r>
        <w:rPr/>
        <w:t>La puissance régulatrice de l’écriture cosmographique ne réside ni dans sa lisibilité immédiate ni dans une propriété magique du support, mais dans sa capacité à être activée correctement dans des lieux, des moments et des gestes qui rejouent la structure qu’elle expose. La scène archicratique ne se confond ni avec l’enseignement ni avec l’exégèse : elle relève d’un enchaînement formalisé de postures, de récitations, de placements et de rythmes faisant du texte un pont opératoire entre l’agencement du réel et la conduite réglée.</w:t>
      </w:r>
    </w:p>
    <w:p>
      <w:pPr>
        <w:pStyle w:val="BodyText"/>
        <w:rPr/>
      </w:pPr>
      <w:r>
        <w:rPr/>
        <w:t>Le lieu d’activation est toujours orienté, ritualisé, hiérarchisé. Dans l’Égypte ancienne, les inscriptions des tombeaux et des temples reproduisent spatialement l’ordre cosmique ; en Mésopotamie, certaines tablettes astronomiques sont situées dans des espaces d’observation et de relance rituelle ; dans le monde védique, la valeur d’un hymne dépend de son triple alignement spatial, temporel et textuel. Dans tous ces cas, la contrainte ne vient pas d’une interprétation doctrinale, mais de la justesse d’une mise en phase entre texte, lieu, corps et cycle.</w:t>
      </w:r>
    </w:p>
    <w:p>
      <w:pPr>
        <w:pStyle w:val="BodyText"/>
        <w:rPr/>
      </w:pPr>
      <w:r>
        <w:rPr/>
        <w:t>L’archicration scripturo-cosmologique se reconnaît ainsi à sa capacité à faire advenir une cohérence sans décret ni commandement. Elle n’impose pas : elle relance un agencement réputé vrai. Son efficacité ne réside pas dans la compréhension du texte, mais dans la réactivation correcte de la structure qu’il rend visible.</w:t>
      </w:r>
    </w:p>
    <w:p>
      <w:pPr>
        <w:pStyle w:val="BodyText"/>
        <w:rPr/>
      </w:pPr>
      <w:r>
        <w:rPr/>
        <w:t>Si ce régime n’édicte pas d’ordres au sens prescriptif, il n’est pas pour autant sans puissance de rappel. L’obligation s’y infère du décalage : non comme faute devant une norme, mais comme désajustement lisible entre texte, geste, temps, lieu et ordre du monde. Ce n’est pas un tribunal qui statue, mais une discordance qui expose l’écart à la structure tenue pour vraie.</w:t>
      </w:r>
    </w:p>
    <w:p>
      <w:pPr>
        <w:pStyle w:val="BodyText"/>
        <w:rPr/>
      </w:pPr>
      <w:r>
        <w:rPr/>
        <w:t>Dans le monde mésopotamien, les irrégularités célestes ou calendaires ne sont pas d’abord perçues comme des messages à interpréter moralement, mais comme des signes de désalignement entre les pratiques humaines et l’architecture cosmique consignée dans les corpus astronomiques. Dans le monde védique, une récitation défectueuse ou une séquence rituelle mal ordonnée interrompt l’efficacité du rite ; dans l’Égypte ancienne, l’omission d’une formule ou l’inversion d’un parcours funéraire désactive la trajectoire cosmique du défunt. Dans tous ces cas, la régulation ne punit pas : elle signale une perte de cohérence et appelle une resynchronisation.</w:t>
      </w:r>
    </w:p>
    <w:p>
      <w:pPr>
        <w:pStyle w:val="BodyText"/>
        <w:rPr/>
      </w:pPr>
      <w:r>
        <w:rPr/>
        <w:t>Cette régulation n’est pourtant pas figée. Les textes cosmographiques doivent rester synchrones avec un monde mouvant, tout en maintenant une structure lisible et stable. Leur plasticité n’est jamais libre : elle consiste dans une capacité de reconfiguration fidèle, par copie, relance, interpolation ou réorientation, dès lors que la cohérence de l’ensemble demeure intacte. En Égypte comme en Mésopotamie ou dans le monde védique, l’écriture cosmographique ne vaut pas comme origine intangible, mais comme moyen de maintien du monde par reprise réglée de ses correspondances.</w:t>
      </w:r>
    </w:p>
    <w:p>
      <w:pPr>
        <w:pStyle w:val="BodyText"/>
        <w:rPr/>
      </w:pPr>
      <w:r>
        <w:rPr/>
        <w:t>Ce régime ne disparaît pas lorsque d’autres formes régulatrices émergent. Il peut être déplacé, relocalisé, mis en régime mineur ou intégré à d’autres architectures, sans perdre pour autant sa logique propre. Des cosmographies mésopotamiennes continuent d’opérer à côté de textes prescriptifs ; des inscriptions égyptiennes deviennent matrices de mémoire rituelle plus que moteurs de régulation collective ; des textualités védiques sont enveloppées par des corpus plus explicitement normatifs sans cesser d’assurer des fonctions d’alignement. L’archicration scripturo-cosmologique n’est donc pas remplacée : elle voit varier ses scènes d’activation et son efficacité relative.</w:t>
      </w:r>
    </w:p>
    <w:p>
      <w:pPr>
        <w:pStyle w:val="BodyText"/>
        <w:rPr/>
      </w:pPr>
      <w:r>
        <w:rPr/>
        <w:t>Sa spécificité apparaît avec netteté par comparaison. Contrairement au proto-symbolique, elle suppose une mémoire scripturaire structurée ; contrairement au techno-logistique, elle ne coordonne pas des flux en vue d’une fonction, mais reconduit un ordre tenu pour cosmique ; contrairement au scripturo-normatif, elle ne prescrit pas des comportements au nom d’une norme opposable, mais rend visibles des correspondances auxquelles il faut se tenir. Elle peut coexister avec ces autres régimes sans se confondre avec aucun d’eux.</w:t>
      </w:r>
    </w:p>
    <w:p>
      <w:pPr>
        <w:pStyle w:val="BodyText"/>
        <w:rPr/>
      </w:pPr>
      <w:r>
        <w:rPr/>
        <w:t>La différence est décisive avec l’archicration théologique à venir. Dans le régime théologique, ce qui oblige procède d’une parole transcendante, révélée et tenue pour supérieure au monde ; ici, au contraire, le texte n’est pas fondement par énonciation, mais surface de figuration d’un ordre déjà là. Là où le théologique oblige par foi en la source, le scripturo-cosmologique oblige par ajustement à la structure.</w:t>
      </w:r>
    </w:p>
    <w:p>
      <w:pPr>
        <w:pStyle w:val="BodyText"/>
        <w:rPr/>
      </w:pPr>
      <w:r>
        <w:rPr/>
        <w:t>L’archicration scripturo-cosmologique désigne ainsi une régulation silencieuse, sans sujet fondateur, sans centre ordonnateur et sans prescription explicite. Le texte n’y formule pas ce qu’il faut faire ; il rend visible ce à quoi il faut se tenir pour que le monde, les gestes et les cycles demeurent accordés. L’arcalité y réside dans la structure du cosmos réputée lisible, la cratialité dans la tenue collective de l’alignement, l’archicration dans la scène d’activation où texte, lieu, temps et corps entrent en phase.</w:t>
      </w:r>
    </w:p>
    <w:p>
      <w:pPr>
        <w:pStyle w:val="BodyText"/>
        <w:rPr/>
      </w:pPr>
      <w:r>
        <w:rPr/>
        <w:t>Ce méta-régime montre qu’une société peut produire de la co-viabilité non par commandement, sanction ou simple fonctionnalité, mais par mise en correspondance réglée avec un ordre tenu pour plus vaste qu’elle. Il oblige sans décret, corrige sans tribunal, maintient sans centre. C’est en cela qu’il constitue une forme archicratique irréductible.</w:t>
      </w:r>
    </w:p>
    <w:p>
      <w:pPr>
        <w:pStyle w:val="BodyText"/>
        <w:rPr/>
      </w:pPr>
      <w:r>
        <w:rPr/>
        <w:t>Un tableau de synthèse de ce méta-régime est reporté en annexe.</w:t>
      </w:r>
    </w:p>
    <w:p>
      <w:pPr>
        <w:pStyle w:val="BodyText"/>
        <w:rPr/>
      </w:pPr>
      <w:r>
        <w:rPr/>
        <w:t>Cette séparation entre la structure cosmique et la source d’énonciation ouvre toutefois à un autre régime : celui où le texte ne reflète plus l’ordre du monde, mais procède d’une parole transcendante qui en devient le fondement. C’est cette inflexion qu’examine la sous-section suivante.</w:t>
      </w:r>
    </w:p>
    <w:p>
      <w:pPr>
        <w:pStyle w:val="Heading3"/>
        <w:numPr>
          <w:ilvl w:val="2"/>
          <w:numId w:val="2"/>
        </w:numPr>
        <w:rPr/>
      </w:pPr>
      <w:r>
        <w:rPr/>
        <w:t xml:space="preserve">2.2.6 — </w:t>
      </w:r>
      <w:r>
        <w:rPr>
          <w:i/>
          <w:iCs/>
        </w:rPr>
        <w:t>Archicrations théologiques</w:t>
      </w:r>
    </w:p>
    <w:p>
      <w:pPr>
        <w:pStyle w:val="BodyText"/>
        <w:rPr/>
      </w:pPr>
      <w:r>
        <w:rPr/>
        <w:t>Dans le régime que nous appelons ici archicration théologique, l’obligation ne procède ni d’un ordre cosmique lisible, ni d’une norme juridico-prescriptive, ni d’une simple régulation rituelle, mais d’une parole révélée tenue pour émaner d’une source divine transcendante, irréductible à toute structure du monde. Le texte n’y oblige pas parce qu’il reflète un ordre naturel ou social : il oblige parce qu’il est reçu comme parole de Dieu.</w:t>
      </w:r>
    </w:p>
    <w:p>
      <w:pPr>
        <w:pStyle w:val="BodyText"/>
        <w:rPr/>
      </w:pPr>
      <w:r>
        <w:rPr/>
        <w:t>L’arcalité théologique réside précisément dans cette rupture. Ici, le fondement n’est pas la reconnaissance d’une structure préalable, mais l’irruption d’un dire qui institue la normativité par son origine même. Ce n’est pas le monde qui fournit la règle ; c’est la parole révélée qui adresse, fonde et ordonne. La scène inaugurale n’est donc pas celle d’un ordre à lire, mais d’une voix à recevoir : Sinaï, révélation coranique, Verbe incarné.</w:t>
      </w:r>
    </w:p>
    <w:p>
      <w:pPr>
        <w:pStyle w:val="BodyText"/>
        <w:rPr/>
      </w:pPr>
      <w:r>
        <w:rPr/>
        <w:t>Dans cette configuration, le texte n’est ni miroir du réel ni simple archive doctrinale. Il est la trace d’une adresse fondatrice, d’un moment où l’énoncé est tenu pour provenir d’un dehors absolu. Comme l’ont montré Michael Fishbane, Jon D. Levenson, Seyyed Hossein Nasr ou Jan Assmann, la validité ne découle pas ici de l’intelligibilité interne du texte, mais de la reconnaissance de sa source supra-humaine. La parole révélée oblige non parce qu’elle convainc, mais parce qu’elle est tenue pour divine.</w:t>
      </w:r>
    </w:p>
    <w:p>
      <w:pPr>
        <w:pStyle w:val="BodyText"/>
        <w:rPr/>
      </w:pPr>
      <w:r>
        <w:rPr/>
        <w:t>L’archicration théologique se déploie ainsi dans un régime où la norme n’est pas déduite, mais reçue ; où l’écriture ne copie pas le monde, mais conserve l’empreinte d’une révélation ; où l’autorité ne procède pas de la structure du réel, mais de la fidélité à une parole tenue pour inaltérable. C’est cette configuration que manifestent les grandes traditions du texte révélé.</w:t>
      </w:r>
    </w:p>
    <w:p>
      <w:pPr>
        <w:pStyle w:val="BodyText"/>
        <w:rPr/>
      </w:pPr>
      <w:r>
        <w:rPr/>
        <w:t>Si la parole révélée constitue l’arcalité propre du régime théologique, la cratialité ne se déploie ni dans la coercition directe, ni dans l’appareil juridique, ni dans l’efficacité logistique d’un système. Elle réside dans la puissance d’obligation attachée à un énoncé tenu pour divin, c’est-à-dire dans la capacité d’une parole reçue comme irrévocable à structurer les conduites, les appartenances et les frontières du dicible. Ce qui oblige ici n’est pas d’abord un ordre humain, mais la reconnaissance de l’origine absolue du dire.</w:t>
      </w:r>
    </w:p>
    <w:p>
      <w:pPr>
        <w:pStyle w:val="BodyText"/>
        <w:rPr/>
      </w:pPr>
      <w:r>
        <w:rPr/>
        <w:t>Cette parole, cependant, ne descend jamais nue dans l’histoire. Elle s’actualise à travers des figures de médiation — prophètes, messies, envoyés, apôtres — qui ne sont ni auteurs ni législateurs au sens plein, mais dépositaires d’une parole qu’ils ne possèdent pas. Leur singularité tient à ceci : ils inaugurent la scène dans laquelle la révélation devient recevable, transmissible et stabilisable. L’autorité prophétique ne crée pas la norme ; elle configure la possibilité de sa réception.</w:t>
      </w:r>
    </w:p>
    <w:p>
      <w:pPr>
        <w:pStyle w:val="BodyText"/>
        <w:rPr/>
      </w:pPr>
      <w:r>
        <w:rPr/>
        <w:t>La tradition juive, l’islam et le christianisme donnent à voir trois versions majeures de cette configuration. Moïse transmet la Torah comme parole donnée, non composée ; Muḥammad reçoit et relaie le Qurʾān comme descente révélée ; le christianisme pense le Christ comme Verbe incarné, et les Évangiles comme témoignage normatif de cette parole. Dans tous ces cas, l’obligation ne procède ni d’une démonstration ni d’une expérience cosmique : elle vient de ce qu’une parole tenue pour divine a été adressée, reçue et transmise.</w:t>
      </w:r>
    </w:p>
    <w:p>
      <w:pPr>
        <w:pStyle w:val="BodyText"/>
        <w:rPr/>
      </w:pPr>
      <w:r>
        <w:rPr/>
        <w:t>La cratialité théologique s’exerce alors dans les dispositifs de fidélité à cette source : chaînes de transmission, écoles exégétiques, autorités doctrinales, gardiens du canon. Les figures d’autorité n’ont de poids qu’en tant qu’elles se réclament d’un énoncé antérieur qu’elles n’égalisent jamais. Leur pouvoir ne réside pas dans l’invention, mais dans la conservation réglée, l’actualisation fidèle et la délimitation des interprétations recevables.</w:t>
      </w:r>
    </w:p>
    <w:p>
      <w:pPr>
        <w:pStyle w:val="BodyText"/>
        <w:rPr/>
      </w:pPr>
      <w:r>
        <w:rPr/>
        <w:t>C’est pourquoi le jugement, dans ce régime, porte d’abord sur la conformité énonciative. Hérésie, schisme, takfīr, apostasie ou condamnation doctrinale ne désignent pas seulement une déviance morale ou sociale : ils marquent un désalignement à l’égard de la parole-source. L’archicration théologique se manifeste ici comme chaîne de garde herméneutique, tendue entre la révélation première et ses lectures autorisées, où la fidélité vaut principe régulateur majeur.</w:t>
      </w:r>
    </w:p>
    <w:p>
      <w:pPr>
        <w:pStyle w:val="BodyText"/>
        <w:rPr/>
      </w:pPr>
      <w:r>
        <w:rPr/>
        <w:t>L’archicration théologique se manifeste au sens strict dans les scènes d’activation liturgique et rituelle où la parole révélée devient opérante par sa reprise fidèle. L’enjeu n’est pas seulement de transmettre un contenu, mais de faire surgir, dans l’instant de la récitation, de la proclamation ou de l’écoute, un effet d’obligation attaché à la présence rejouée du texte révélé. Le texte n’oblige pas ici comme un simple code ; il oblige dans et par les formes réglées de sa mise en œuvre.</w:t>
      </w:r>
    </w:p>
    <w:p>
      <w:pPr>
        <w:pStyle w:val="BodyText"/>
        <w:rPr/>
      </w:pPr>
      <w:r>
        <w:rPr/>
        <w:t>Cette scène ne peut être dissociée d’une posture de réception. Ce n’est pas un texte lu abstraitement qui régule, mais un texte entendu, récité, chanté ou proclamé dans un cadre spatial, temporel et corporel garantissant sa validité. La parole révélée demande activation, disposition intérieure, répétition, mémoire et reconnaissance communautaire de sa source. Ce qui est en jeu n’est donc pas la libre adhésion, mais la réception orientée d’un énoncé tenu pour absolu.</w:t>
      </w:r>
    </w:p>
    <w:p>
      <w:pPr>
        <w:pStyle w:val="BodyText"/>
        <w:rPr/>
      </w:pPr>
      <w:r>
        <w:rPr/>
        <w:t>La tradition juive, l’islam et le christianisme offrent ici trois formes exemplaires. Le Shemaʿ et la qeriʾa de la Torah, la récitation coranique dans la ṣalāt, la proclamation évangélique dans la liturgie chrétienne ne valent pas d’abord comme explication ou commentaire, mais comme relance canonique de la parole-source. Leur efficacité n’est pas annulée par l’inintelligibilité partielle du texte : elle dépend de la fidélité à la forme rituelle, à la diction, au lieu, au moment et aux règles de réception. La parole ne convainc pas seulement ; elle configure.</w:t>
      </w:r>
    </w:p>
    <w:p>
      <w:pPr>
        <w:pStyle w:val="BodyText"/>
        <w:rPr/>
      </w:pPr>
      <w:r>
        <w:rPr/>
        <w:t>Cette activation se prolonge hors du sanctuaire dans des formes quotidiennes de mémorisation, de répétition et d’incorporation. Prières réglées, étude, récitations privées, versets portés sur le corps, bénédictions, discipline des heures : tout cela fait du fidèle non un simple destinataire, mais l’interface incarnée d’une parole qui continue d’ordonner la conduite. L’archicration théologique ne produit donc pas seulement des assemblées liturgiques ; elle forme des corps ajustés à la répétition du Verbe.</w:t>
      </w:r>
    </w:p>
    <w:p>
      <w:pPr>
        <w:pStyle w:val="BodyText"/>
        <w:rPr/>
      </w:pPr>
      <w:r>
        <w:rPr/>
        <w:t>Il serait dès lors insuffisant de concevoir le texte révélé comme un code prescriptif transmis une fois pour toutes. Dans ce régime, l’obligation naît de la coexistence entre une parole tenue pour divine et les dispositifs communautaires qui la rejouent, la rendent audible et la maintiennent vivante. C’est cette coprésence du texte, du rite, du corps et de la réception qui constitue la scène archicratique proprement théologique.</w:t>
      </w:r>
    </w:p>
    <w:p>
      <w:pPr>
        <w:pStyle w:val="BodyText"/>
        <w:rPr/>
      </w:pPr>
      <w:r>
        <w:rPr/>
        <w:t>L’un des traits distinctifs du régime théologique réside dans la structuration hiérarchique des corpus scripturaires. La parole révélée y demeure la source inaltérable de l’obligation, mais elle n’opère dans l’histoire qu’à travers une architecture de textes, de commentaires, de gloses et de codifications dont l’autorité varie selon leur proximité à la révélation. Cette hiérarchie n’est pas secondaire : elle est la condition même de la stabilité normative, puisqu’elle permet d’étendre la parole-source sans jamais autoriser qu’elle soit mise à égalité avec ses développements.</w:t>
      </w:r>
    </w:p>
    <w:p>
      <w:pPr>
        <w:pStyle w:val="BodyText"/>
        <w:rPr/>
      </w:pPr>
      <w:r>
        <w:rPr/>
        <w:t>Dans le judaïsme rabbinique, cette topologie s’organise autour de la distinction entre Torah écrite, Mishnah, Gemara et traditions exégétiques. La révélation reste le sommet inaltérable, tandis que les textes de commentaire et de discussion ne valent qu’en tant que prolongements recevables. Comme l’a montré James Kugel, plus un texte est proche de la révélation, plus il se ferme à la réforme et à la contestation directe ; plus il s’en éloigne, plus la discussion devient possible, sans jamais remonter jusqu’à la source elle-même.</w:t>
      </w:r>
    </w:p>
    <w:p>
      <w:pPr>
        <w:pStyle w:val="BodyText"/>
        <w:rPr/>
      </w:pPr>
      <w:r>
        <w:rPr/>
        <w:t>Dans l’islam, cette stratification prend une forme particulièrement rigoureuse. Le Qurʾān demeure le texte révélé sans équivalent, tandis que les ḥadīth, les tafsīr et les constructions juridiques n’ont d’autorité qu’en tant qu’ils s’y rapportent selon des règles strictes de transmission et de fidélité. Comme l’ont montré Mohammed Arkoun ou Wael Hallaq, l’interprétation n’y est jamais libre : elle vaut seulement si elle peut se justifier par rapport à la source et à la méthodologie reconnue de son actualisation.</w:t>
      </w:r>
    </w:p>
    <w:p>
      <w:pPr>
        <w:pStyle w:val="BodyText"/>
        <w:rPr/>
      </w:pPr>
      <w:r>
        <w:rPr/>
        <w:t>Le christianisme, lui aussi, articule un canon à paliers : Écritures, Évangiles, épîtres, Pères, conciles, magistère. La lecture n’y est pas abandonnée à l’initiative individuelle, mais encadrée par une tradition interprétante qui garantit l’unité doctrinale du dépôt révélé. Ce que l’on peut penser, dire ou commenter dépend toujours du lieu textuel et institutionnel à partir duquel on parle.</w:t>
      </w:r>
    </w:p>
    <w:p>
      <w:pPr>
        <w:pStyle w:val="BodyText"/>
        <w:rPr/>
      </w:pPr>
      <w:r>
        <w:rPr/>
        <w:t>Cette architecture scripturaire produit une lecture autorisée. Les écoles exégétiques, les qualifications doctrinales, les chaînes de transmission et les méthodes herméneutiques ont pour fonction non d’ouvrir indéfiniment le sens, mais de transmettre sans altérer, d’interpréter sans refonder, de commenter sans rompre le lien à la source. La pluralité des lectures est donc possible, mais elle demeure hiérarchisée, surveillée et subordonnée à l’énoncé originaire.</w:t>
      </w:r>
    </w:p>
    <w:p>
      <w:pPr>
        <w:pStyle w:val="BodyText"/>
        <w:rPr/>
      </w:pPr>
      <w:r>
        <w:rPr/>
        <w:t>Lire devient ainsi un acte archicratique à part entière. Il ne s’agit pas seulement de comprendre un texte, mais de se situer dans une pyramide de validité, de parler à la bonne distance de la source et sous les formes reconnues de la fidélité. Le savoir théologique n’est pas fondateur : il est gardien. Cette topologie du canon, de la lecture autorisée et de la fidélité graduée constitue l’un des ressorts majeurs de l’archicration théologique.</w:t>
      </w:r>
    </w:p>
    <w:p>
      <w:pPr>
        <w:pStyle w:val="BodyText"/>
        <w:rPr/>
      </w:pPr>
      <w:r>
        <w:rPr/>
        <w:t>Il s’ensuit une logique singulière du désaccord. Dans le régime théologique, l’opposition ne porte pas d’abord sur des normes sociales, des valeurs ou des intérêts, mais sur la fidélité à un énoncé fondateur tenu pour révélé. Le conflit ne concerne pas seulement ce qu’il faut faire, mais ce qu’il est possible de dire sans rompre l’alignement à la parole-source.</w:t>
      </w:r>
    </w:p>
    <w:p>
      <w:pPr>
        <w:pStyle w:val="BodyText"/>
        <w:rPr/>
      </w:pPr>
      <w:r>
        <w:rPr/>
        <w:t>L’hérésie, le schisme, l’apostasie ou le takfīr ne désignent donc pas prioritairement des fautes morales ou politiques. Ils marquent un désalignement énonciatif : une parole jugée incompatible avec l’origine révélée. Ce qui est en jeu n’est pas seulement une divergence d’opinion, mais une rupture dans la chaîne de la fidélité. L’exclusion vise alors moins des personnes que des formulations devenues inassimilables au régime de vérité fondé par la révélation.</w:t>
      </w:r>
    </w:p>
    <w:p>
      <w:pPr>
        <w:pStyle w:val="BodyText"/>
        <w:rPr/>
      </w:pPr>
      <w:r>
        <w:rPr/>
        <w:t>Ces mécanismes d’exclusion remplissent une fonction régulatrice centrale. Ils permettent de maintenir l’intégrité du dire en traçant les limites du dicible légitime. La conflictualité n’y est pas abolie, mais structurée : elle devient un opérateur de clarification doctrinale, par lequel la communauté ajuste en permanence les contours de ce qui peut être reçu, transmis et tenu comme fidèle.</w:t>
      </w:r>
    </w:p>
    <w:p>
      <w:pPr>
        <w:pStyle w:val="BodyText"/>
        <w:rPr/>
      </w:pPr>
      <w:r>
        <w:rPr/>
        <w:t>Ce mode de régulation distingue nettement l’archicration théologique des autres méta-régimes. Contrairement au scripturo-normatif, elle ne repose pas sur l’application d’un code ; contrairement au scripturo-cosmologique, elle ne reconduit pas un ordre du monde ; contrairement au sacral non étatique, elle ne procède pas par présence immédiate ; contrairement au techno-logistique, elle n’ordonne rien au nom de l’efficacité. Elle institue un espace où l’obligation procède de la reconnaissance d’un énoncé tenu pour absolu, et où toute variation se mesure à la fidélité à cette source.</w:t>
      </w:r>
    </w:p>
    <w:p>
      <w:pPr>
        <w:pStyle w:val="BodyText"/>
        <w:rPr/>
      </w:pPr>
      <w:r>
        <w:rPr/>
        <w:t>L’archicration théologique se caractérise ainsi par une configuration singulière : une arcalité fondée sur la transcendance de la parole révélée, une cratialité exercée par la fidélité interprétative et institutionnelle à cette parole, et une archicration opérée dans les scènes où cette parole est rejouée, transmise et gardée. Elle ne commande pas au sens juridique, ne coordonne pas au sens fonctionnel, ne reflète pas au sens cosmologique : elle oblige par la provenance absolue de la parole. C’est en cela qu’elle constitue une forme archicratique proprement irréductible.</w:t>
      </w:r>
    </w:p>
    <w:p>
      <w:pPr>
        <w:pStyle w:val="BodyText"/>
        <w:rPr/>
      </w:pPr>
      <w:r>
        <w:rPr/>
        <w:t>Un tableau de synthèse de ce méta-régime est présenté en annexe.</w:t>
      </w:r>
    </w:p>
    <w:p>
      <w:pPr>
        <w:pStyle w:val="Heading3"/>
        <w:numPr>
          <w:ilvl w:val="2"/>
          <w:numId w:val="2"/>
        </w:numPr>
        <w:rPr/>
      </w:pPr>
      <w:r>
        <w:rPr/>
        <w:t xml:space="preserve">2.2.7 — </w:t>
      </w:r>
      <w:r>
        <w:rPr>
          <w:i/>
          <w:iCs/>
        </w:rPr>
        <w:t>Archicrations historiographiques</w:t>
      </w:r>
    </w:p>
    <w:p>
      <w:pPr>
        <w:pStyle w:val="BodyText"/>
        <w:rPr/>
      </w:pPr>
      <w:r>
        <w:rPr/>
        <w:t xml:space="preserve">À côté des méta-régimes fondés sur la révélation divine, l’ordonnancement cosmique ou la normativité impersonnelle du code, un autre type de configuration archicratique émerge très tôt dans l’histoire humaine : celui qui s’origine dans l’agencement scripturaire du passé, dans l’élaboration de récits organisant la transmission du pouvoir, la légitimation des règnes, la naturalisation des hiérarchies et la configuration des appartenances. Ce régime — que nous désignons ici par le syntagme </w:t>
      </w:r>
      <w:r>
        <w:rPr>
          <w:i/>
          <w:iCs/>
        </w:rPr>
        <w:t>archicration historiographique</w:t>
      </w:r>
      <w:r>
        <w:rPr/>
        <w:t xml:space="preserve"> — ne fonde pas l’obligation sur une voix divine ou une structure du monde, mais sur l’inscription du temps politique, l’enregistrement narratif du pouvoir et la sacralisation implicite de la filiation dynastique.</w:t>
      </w:r>
    </w:p>
    <w:p>
      <w:pPr>
        <w:pStyle w:val="BodyText"/>
        <w:rPr/>
      </w:pPr>
      <w:r>
        <w:rPr/>
        <w:t>C’est dans les inscriptions royales, les épopées fondatrices, les chroniques de cour, les généalogies officielles, les annales impériales, que se déploie cette modalité spécifique de régulation par l’écrit : non pour énoncer ce qui devrait être, mais pour fixer ce qui fut — et par cette fixation même, en faire le socle de l’ordre présent. Comme l’a montré Mario Liverani, dans le cas des monarchies mésopotamiennes, les récits royaux n’avaient pas pour fonction de rapporter objectivement des faits, mais d’organiser la mémoire du pouvoir en légitimant l’héritage dynastique (</w:t>
      </w:r>
      <w:r>
        <w:rPr>
          <w:i/>
          <w:iCs/>
        </w:rPr>
        <w:t>Myth and Politics in Ancient Near Eastern Historiography</w:t>
      </w:r>
      <w:r>
        <w:rPr/>
        <w:t>, 2004). En cela, ce n’est pas une prescription, mais un héritage scripturaire du pouvoir, où l’archive fonde la continuité de l’ordre.</w:t>
      </w:r>
    </w:p>
    <w:p>
      <w:pPr>
        <w:pStyle w:val="BodyText"/>
        <w:rPr/>
      </w:pPr>
      <w:r>
        <w:rPr/>
        <w:t>L’historicité n’est pas ici mémoire individuelle, ni science critique, mais mode opératoire du lien politique : elle fonde la stabilité par la mise en intrigue et l’ancrage scripturaire des gestes de fondation. Cette régulation est activée par des figures intermédiaires — scribes de cour, historiographes officiels, clercs chroniqueurs — dont la tâche n’est pas d’analyser, mais de figer un ordre narratif jugé fondateur.</w:t>
      </w:r>
    </w:p>
    <w:p>
      <w:pPr>
        <w:pStyle w:val="BodyText"/>
        <w:rPr/>
      </w:pPr>
      <w:r>
        <w:rPr/>
        <w:t>Dans ce méta-régime, l’arcalité procède de la mise en intrigue du passé politique. Ce qui fait ici fondement n’est ni une norme abstraite, ni une révélation, ni un ordre cosmique, mais le fait qu’une séquence d’événements — règnes, fondations, conquêtes, restaurations — ait été retenue, classée et transmise comme trame légitime. Le temps raconté devient ainsi une matrice d’obligation : ce qui a été narrativement stabilisé comme fondateur acquiert une autorité durable sur le présent.</w:t>
      </w:r>
    </w:p>
    <w:p>
      <w:pPr>
        <w:pStyle w:val="BodyText"/>
        <w:rPr/>
      </w:pPr>
      <w:r>
        <w:rPr/>
        <w:t>La forme canonique de cette arcalité est l’annale, la chronique ou la généalogie officielle. Des annales assyriennes aux chroniques impériales chinoises, l’histoire enregistrée n’est pas une simple collection de faits, mais une technique de linéarisation du temps politique. Comme l’ont montré Mario Liverani pour le Proche-Orient ancien et Yuri Pines pour la Chine impériale, ces récits ne décrivent pas seulement le pouvoir : ils le stabilisent en inscrivant chaque règne dans une chaîne de précédents recevables. L’ordre n’y est pas donné : il est hérité, raconté et rendu tenable par sa transmission.</w:t>
      </w:r>
    </w:p>
    <w:p>
      <w:pPr>
        <w:pStyle w:val="BodyText"/>
        <w:rPr/>
      </w:pPr>
      <w:r>
        <w:rPr/>
        <w:t>Cette arcalité historiographique n’est donc pas seulement mémoire du passé, mais mise en forme d’une antériorité recevable. Ce qui compte n’est pas que les événements aient eu lieu au sens brut, mais qu’ils aient été retenus dans une séquence intelligible, ordonnée selon des critères de fondation, de succession, de rupture et de restauration. Le passé n’oblige qu’à la condition d’avoir été narrativement stabilisé. C’est pourquoi l’historiographie royale, dynastique ou impériale ne transmet pas d’abord une vérité critique, mais une structure de continuité : elle distribue les points d’origine légitimes, fixe les lignées recevables et transforme la mémoire en sol d’autorisation du présent.</w:t>
      </w:r>
    </w:p>
    <w:p>
      <w:pPr>
        <w:pStyle w:val="BodyText"/>
        <w:rPr/>
      </w:pPr>
      <w:r>
        <w:rPr/>
        <w:t>En ce sens, l’arcalité historiographique ne repose pas sur le passé comme tel, mais sur le passé configuré. Elle suppose un travail de composition par lequel certains événements deviennent décisifs, d’autres secondaires, d’autres enfin invisibles. Ce régime ne demande donc pas seulement que l’on se souvienne, mais que l’on se souvienne selon une forme. L’histoire agit ici comme matrice de hiérarchisation temporelle : elle ordonne ce qui mérite d’être transmis, ce qui peut être invoqué, et ce qui doit demeurer à l’arrière-plan pour que la continuité du corps politique reste lisible. Le fondement n’est pas l’ancienneté brute, mais la sélection narrative de ce qui peut encore valoir comme origine.</w:t>
      </w:r>
    </w:p>
    <w:p>
      <w:pPr>
        <w:pStyle w:val="BodyText"/>
        <w:rPr/>
      </w:pPr>
      <w:r>
        <w:rPr/>
        <w:t>La cratialité historiographique s’exerce par la puissance du précédent. Elle ne commande ni par injonction directe, ni par sacralité révélée, mais par l’effet d’orientation produit par des figures, des règnes et des gestes tenus pour exemplaires. Le pouvoir s’y enracine dans une mémoire narrative qui distribue silencieusement les modèles recevables de l’action légitime.</w:t>
      </w:r>
    </w:p>
    <w:p>
      <w:pPr>
        <w:pStyle w:val="BodyText"/>
        <w:rPr/>
      </w:pPr>
      <w:r>
        <w:rPr/>
        <w:t>Dans le monde assyrien comme dans la Chine impériale, cette puissance se laisse saisir avec netteté. Les annales royales assyriennes mettent en forme une continuité héroïque rendant chaque nouvelle conquête intelligible comme reprise d’un modèle déjà validé ; les Shǐjì de Sima Qian construisent, quant à eux, un répertoire de figures exemplaires à partir duquel l’action présente peut se légitimer. Dans les deux cas, le récit n’ordonne pas explicitement : il configure un horizon d’autorité auquel les gouvernants doivent se raccorder pour apparaître recevables.</w:t>
      </w:r>
    </w:p>
    <w:p>
      <w:pPr>
        <w:pStyle w:val="BodyText"/>
        <w:rPr/>
      </w:pPr>
      <w:r>
        <w:rPr/>
        <w:t>Si la cratialité organise la fidélité au précédent, l’archicration historiographique apparaît lorsque cette fidélité devient objet d’arbitrage. Elle se manifeste dans les moments où plusieurs récits du passé entrent en concurrence et où il faut distinguer entre le récit autorisé, le récit toléré et le récit disqualifié. L’histoire n’est alors plus seulement mémoire ou archive : elle devient dispositif de régulation des versions recevables du passé commun.</w:t>
      </w:r>
    </w:p>
    <w:p>
      <w:pPr>
        <w:pStyle w:val="BodyText"/>
        <w:rPr/>
      </w:pPr>
      <w:r>
        <w:rPr/>
        <w:t>Les révisions historiographiques organisées sous les Song en offrent un exemple net. Le savoir historique y est encadré par des instances savantes mandatées pour compiler, sélectionner et valider les récits compatibles avec la morale politique confucéenne et avec la continuité dynastique. Dans un registre différent, la damnatio memoriae romaine montre qu’un pouvoir peut maintenir sa cohérence en retranchant un nom, une figure ou une séquence de la trame admise. Dans les deux cas, l’enjeu n’est pas seulement d’écrire l’histoire, mais de déterminer ce qui peut continuer à faire mémoire publique.</w:t>
      </w:r>
    </w:p>
    <w:p>
      <w:pPr>
        <w:pStyle w:val="BodyText"/>
        <w:rPr/>
      </w:pPr>
      <w:r>
        <w:rPr/>
        <w:t>L’archicration historiographique ne se confond donc ni avec la simple censure ni avec l’écriture comme telle. Elle suppose un lieu de tri, de confrontation et de décision sur les formes narratives admissibles. C’est là que l’histoire devient tribunal des récits : non pour juger les faits eux-mêmes, mais pour statuer sur la version du passé qui pourra continuer à soutenir la co-viabilité politique.</w:t>
      </w:r>
    </w:p>
    <w:p>
      <w:pPr>
        <w:pStyle w:val="BodyText"/>
        <w:rPr/>
      </w:pPr>
      <w:r>
        <w:rPr/>
        <w:t>C’est dans cette opération de sélection que se joue la spécificité proprement archicratique du régime historiographique. La mémoire ne régule pas parce qu’elle conserve, mais parce qu’elle filtre. Entre le passé disponible et le passé admissible, il existe un travail de hiérarchisation, de clôture et parfois de retranchement qui détermine ce qui pourra continuer d’agir comme précédent légitime. L’archicration historiographique intervient précisément à ce niveau : lorsque la continuité du corps politique dépend de la version du passé que l’on décide de retenir, d’enseigner, de commémorer ou d’écarter. L’histoire cesse alors d’être simple récit des origines pour devenir instance de recevabilité du présent.</w:t>
      </w:r>
    </w:p>
    <w:p>
      <w:pPr>
        <w:pStyle w:val="BodyText"/>
        <w:rPr/>
      </w:pPr>
      <w:r>
        <w:rPr/>
        <w:t>C’est pourquoi l’archicration historiographique ne doit pas être rabattue sur la seule production de récits officiels. Elle commence véritablement là où surgit une épreuve de compatibilité entre plusieurs passés possibles. Tant qu’une narration s’impose sans friction, elle relève surtout de la cratialité du précédent ; mais dès lors que la continuité politique exige de départager, de recomposer ou de neutraliser des versions concurrentes, une scène archicratique s’ouvre proprement. Celle-ci peut être solennelle ou discrète, publique ou fermée, doctrinale ou administrative ; dans tous les cas, elle engage une décision sur ce qui pourra continuer de faire autorité comme mémoire commune. Le passé n’y est plus seulement transmis : il y est régulé.</w:t>
      </w:r>
    </w:p>
    <w:p>
      <w:pPr>
        <w:pStyle w:val="BodyText"/>
        <w:rPr/>
      </w:pPr>
      <w:r>
        <w:rPr/>
        <w:t>Le récit historiographique n’agit pas seulement comme archive : il est relancé dans des dispositifs de lecture, de commémoration et de réactivation publique qui lui donnent une efficacité régulatrice directe. Ce qui oblige n’est pas le passé en lui-même, mais sa reprise réglée dans des scènes où il redevient matrice d’orientation commune. L’histoire cesse alors d’être simple mémoire pour devenir présence narrative du fondement.</w:t>
      </w:r>
    </w:p>
    <w:p>
      <w:pPr>
        <w:pStyle w:val="BodyText"/>
        <w:rPr/>
      </w:pPr>
      <w:r>
        <w:rPr/>
        <w:t>Les lectures dynastiques à la cour ottomane en donnent un exemple éclairant : la récitation d’extraits des Tevârih-i Âl-i Osman devant les dignitaires du pouvoir ne relevait ni du culte ni de l’érudition gratuite, mais d’une réinscription régulière du présent dans la continuité des gestes fondateurs. L’histoire canonisée, lue à voix haute dans un cadre institué, devenait ainsi condition de recevabilité des décisions et support de l’alignement politique.</w:t>
      </w:r>
    </w:p>
    <w:p>
      <w:pPr>
        <w:pStyle w:val="BodyText"/>
        <w:rPr/>
      </w:pPr>
      <w:r>
        <w:rPr/>
        <w:t>L’archicration historiographique prend ici sa forme pleinement active : elle organise les conditions dans lesquelles le passé peut être rejoué comme autorité. Ce n’est pas le récit seul qui régule, mais sa réactivation publique, filtrée et périodique, par laquelle les figures, les filiations et les précédents redeviennent opérateurs de co-viabilité.</w:t>
      </w:r>
    </w:p>
    <w:p>
      <w:pPr>
        <w:pStyle w:val="BodyText"/>
        <w:rPr/>
      </w:pPr>
      <w:r>
        <w:rPr/>
        <w:t>Comme tout méta-régime, l’archicration historiographique connaît ses fragilités. Elle se désactive lorsque la chaîne narrative perd en lisibilité, lorsque le répertoire des figures fondatrices se sature au point de devenir décoratif, lorsque le récit entre en concurrence avec d’autres régimes d’autorité, ou encore lorsqu’il se réduit à une propagande tactique sans profondeur de transmission. Dans tous ces cas, ce n’est pas l’histoire qui disparaît, mais sa capacité à orienter durablement le présent.</w:t>
      </w:r>
    </w:p>
    <w:p>
      <w:pPr>
        <w:pStyle w:val="BodyText"/>
        <w:rPr/>
      </w:pPr>
      <w:r>
        <w:rPr/>
        <w:t>Ces fragilités permettent de préciser le seuil propre de son efficacité. Pour qu’un récit historiographique régule véritablement, il ne suffit pas qu’il existe, ni même qu’il soit répété : il faut encore qu’il demeure lisible comme chaîne de précédents, crédible comme trame de continuité, et réactivable dans des scènes où le collectif peut continuer à s’y reconnaître. Lorsque cette triple condition se défait, l’histoire demeure peut-être disponible comme mémoire, mais elle cesse d’opérer comme puissance d’orientation.</w:t>
      </w:r>
    </w:p>
    <w:p>
      <w:pPr>
        <w:pStyle w:val="BodyText"/>
        <w:rPr/>
      </w:pPr>
      <w:r>
        <w:rPr/>
        <w:t>Ce qui fait la force propre de ce régime apparaît alors plus nettement : une arcalité fondée sur la stabilisation narrative du passé, une cratialité exercée par la puissance du précédent, et une archicration située dans le tri, la validation et la relance publique des récits recevables. L’histoire n’y agit ni comme simple souvenir, ni comme savoir neutre, mais comme matrice de légitimité et de continuité.</w:t>
      </w:r>
    </w:p>
    <w:p>
      <w:pPr>
        <w:pStyle w:val="BodyText"/>
        <w:rPr/>
      </w:pPr>
      <w:r>
        <w:rPr/>
        <w:t>L’archicration historiographique désigne ainsi une forme de régulation dans laquelle les sociétés tiennent ensemble par un passé sélectionné, raconté et réactivé comme autorité commune. Elle ne commande ni par décret, ni par révélation, ni par seule fonctionnalité : elle oblige par héritage narratif. Sa force propre tient à ceci qu’elle produit de la continuité sans avoir besoin de tout formaliser en norme explicite. Le précédent y agit comme opérateur silencieux d’orientation ; la mémoire validée, comme cadre implicite du recevable ; la relance publique du récit, comme scène de réinscription du collectif dans sa propre filiation.</w:t>
      </w:r>
    </w:p>
    <w:p>
      <w:pPr>
        <w:pStyle w:val="BodyText"/>
        <w:rPr/>
      </w:pPr>
      <w:r>
        <w:rPr/>
        <w:t>En cela, le régime historiographique occupe une place spécifique dans la typologie archicratique. Il montre qu’une société peut stabiliser la co-viabilité non seulement par des règles, des croyances ou des dispositifs fonctionnels, mais aussi par la maîtrise des récits à partir desquels elle se comprend elle-même comme légitime, continue et transmissible. L’obligation narrative n’est ni un supplément rhétorique ni un simple décor symbolique : elle constitue une modalité effective du gouvernement des appartenances, des fidélités et des seuils du pensable politique.</w:t>
      </w:r>
    </w:p>
    <w:p>
      <w:pPr>
        <w:pStyle w:val="BodyText"/>
        <w:rPr/>
      </w:pPr>
      <w:r>
        <w:rPr/>
        <w:t>Sous ce rapport, l’archicration historiographique révèle une propriété majeure de la régulation politique : une collectivité ne tient pas seulement par ce qu’elle croit, par ce qu’elle prescrit ou par ce qu’elle organise matériellement, mais aussi par ce qu’elle se raconte comme ayant déjà tenu. Le récit validé ne vient pas après l’ordre ; il participe à sa reproduction en donnant au présent la forme d’une continuation recevable. C’est là sa force silencieuse : produire de la normativité sans passer nécessairement par l’énoncé explicite d’une règle. Là où un passé est sélectionné, mis en intrigue et publiquement relancé comme mémoire légitime, une obligation narrative prend corps et travaille en profondeur la co-viabilité du groupe.</w:t>
      </w:r>
    </w:p>
    <w:p>
      <w:pPr>
        <w:pStyle w:val="BodyText"/>
        <w:rPr/>
      </w:pPr>
      <w:r>
        <w:rPr/>
        <w:t>Un tableau de synthèse de ce méta-régime est présenté en annexe.</w:t>
      </w:r>
    </w:p>
    <w:p>
      <w:pPr>
        <w:pStyle w:val="BodyText"/>
        <w:rPr/>
      </w:pPr>
      <w:r>
        <w:rPr/>
        <w:t>La sous-section suivante portera sur un autre régime archicratique : non plus celui de la mémoire politique narrée, mais celui de l’encodage savant du savoir. Avec l’archicration épistémique, l’ordre n’est plus d’abord raconté : il est classé, transmis, validé et reproduit à travers des matrices cognitives spécialisées, dont l’autorité tient moins à la filiation du passé qu’à la tenue réglée des savoirs.</w:t>
      </w:r>
    </w:p>
    <w:p>
      <w:pPr>
        <w:pStyle w:val="Heading3"/>
        <w:numPr>
          <w:ilvl w:val="2"/>
          <w:numId w:val="2"/>
        </w:numPr>
        <w:rPr/>
      </w:pPr>
      <w:r>
        <w:rPr/>
        <w:t xml:space="preserve">2.2.8 — </w:t>
      </w:r>
      <w:r>
        <w:rPr>
          <w:i/>
          <w:iCs/>
        </w:rPr>
        <w:t>Archicrations épistémiques</w:t>
      </w:r>
    </w:p>
    <w:p>
      <w:pPr>
        <w:pStyle w:val="BodyText"/>
        <w:rPr/>
      </w:pPr>
      <w:r>
        <w:rPr/>
        <w:t>Là où d’autres méta-régimes archicratiques fondent l’obligation sur la révélation, sur l’ordre cosmique ou sur la mémoire narrée du pouvoir, le régime épistémique la fonde sur la forme instituée du savoir. L’ordre n’y est plus principalement dit, raconté ou hérité : il est défini, classé, formalisé, transmis et validé selon des schèmes cognitifs stables. C’est cette formalisation du réel comme principe de régulation que nous nommons ici arcalité épistémique.</w:t>
      </w:r>
    </w:p>
    <w:p>
      <w:pPr>
        <w:pStyle w:val="BodyText"/>
        <w:rPr/>
      </w:pPr>
      <w:r>
        <w:rPr/>
        <w:t>La singularité de ce régime tient au basculement qu’il opère : on passe de la mise en intrigue à la mise en tableau, du récit à la matrice, du précédent à la procédure. Le savoir n’y vaut pas comme supplément de l’ordre, mais comme son infrastructure silencieuse. Il ne s’agit plus d’autoriser le présent par ce qui fut, mais de le rendre intelligible, opérable et reproductible à partir de corpus, de classifications, de protocoles et de formats de preuve.</w:t>
      </w:r>
    </w:p>
    <w:p>
      <w:pPr>
        <w:pStyle w:val="BodyText"/>
        <w:rPr/>
      </w:pPr>
      <w:r>
        <w:rPr/>
        <w:t>Les instruments et l’instrumentation occupent, dans ce régime, une position transversale. Ils relèvent de l’arcalité lorsqu’ils stabilisent un format recevable de preuve, de la cratialité lorsqu’ils rendent l’enquête effectivement opératoire, et de l’archicration lorsqu’ils deviennent eux-mêmes objets d’épreuve, de reprise et de contestation méthodique. La mesure ne devient ainsi pleinement archicratique qu’à la condition de pouvoir être discutée, recalibrée, confrontée à d’autres mesures et réinscrite dans des protocoles explicites ; sans cela, elle n’est qu’un opérateur technique ou un effet d’autorité.</w:t>
      </w:r>
    </w:p>
    <w:p>
      <w:pPr>
        <w:pStyle w:val="BodyText"/>
        <w:rPr/>
      </w:pPr>
      <w:r>
        <w:rPr/>
        <w:t>L’arcalité épistémique réside ainsi dans la capacité de certains systèmes de savoir à organiser le réel en le nommant, en le découpant et en le reliant selon une cohérence propre. Le monde devient lisible à travers des nomenclatures, des grammaires, des algorithmes, des schémas médicaux ou des séries démonstratives. Ce qui oblige n’est plus un commandement, mais une structure d’intelligibilité tenue pour valide parce qu’elle est transmissible, cohérente et opératoire.</w:t>
      </w:r>
    </w:p>
    <w:p>
      <w:pPr>
        <w:pStyle w:val="BodyText"/>
        <w:rPr/>
      </w:pPr>
      <w:r>
        <w:rPr/>
        <w:t>Cette arcalité se laisse saisir dans plusieurs familles de corpus. Les listes lexicales mésopotamiennes, les textes mathématiques babyloniens, les traités médicaux égyptiens ou encore la grammaire de Pāṇini ne valent pas seulement par leur contenu ; ils valent par la forme d’ordre qu’ils installent. Chacun de ces ensembles ne décrit pas simplement un domaine : il le découpe, le hiérarchise, en stabilise les unités pertinentes et impose les relations selon lesquelles il peut être pensé. Le savoir agit alors comme matrice d’intelligibilité.</w:t>
      </w:r>
    </w:p>
    <w:p>
      <w:pPr>
        <w:pStyle w:val="BodyText"/>
        <w:rPr/>
      </w:pPr>
      <w:r>
        <w:rPr/>
        <w:t>On pourrait dire, de manière plus précise, que ces corpus ne se limitent pas à contenir des connaissances : ils instituent des régimes de visibilité intellectuelle. Ainsi la liste lexicale fixe les voisinages admissibles entre les choses. La table mathématique impose un espace de relations où certaines opérations deviennent immédiatement pensables et d’autres demeurent hors champ. Le traité médical, de même, distribue des correspondances stables entre signes, causes et interventions. Quant à la grammaire, elle ne codifie pas seulement un usage ; elle définit les conditions mêmes d’une parole correcte. Dans tous ces cas, le savoir n’intervient pas après coup sur un monde déjà donné : il préforme les voies par lesquelles ce monde pourra être identifié, traité et transmis.</w:t>
      </w:r>
    </w:p>
    <w:p>
      <w:pPr>
        <w:pStyle w:val="BodyText"/>
        <w:rPr/>
      </w:pPr>
      <w:r>
        <w:rPr/>
        <w:t>Ce régime s’incarne dans des formes scripturaires spécifiques : listes, tableaux, schémas, nomenclatures, suites démonstratives. Comme l’ont montré Jack Goody, Reviel Netz ou Michel Foucault dans des registres différents, ces formats n’enregistrent pas seulement des données : ils organisent l’acte même de penser. La disposition spatiale du savoir, sa mise en série, sa segmentation et sa logique classificatoire produisent une contrainte discrète mais décisive. L’écriture n’est pas seulement support ; elle devient opérateur de découpe du réel.</w:t>
      </w:r>
    </w:p>
    <w:p>
      <w:pPr>
        <w:pStyle w:val="BodyText"/>
        <w:rPr/>
      </w:pPr>
      <w:r>
        <w:rPr/>
        <w:t>De là procède une pédagogie implicite. Les écoles scribales, médicales ou grammaticales ne transmettent pas seulement des contenus ; elles inculquent des gestes mentaux, des séquences de traitement, des manières recevables de classer, de déduire et de restituer. L’arcalité épistémique est donc aussi une orthopédie cognitive : elle forme des sujets capables de penser selon un ordre stabilisé, et non de simplement accumuler des connaissances.</w:t>
      </w:r>
    </w:p>
    <w:p>
      <w:pPr>
        <w:pStyle w:val="BodyText"/>
        <w:rPr/>
      </w:pPr>
      <w:r>
        <w:rPr/>
        <w:t>C’est pourquoi, à son niveau le plus abstrait, l’arcalité épistémique ne renvoie plus à un ordre extérieur, mais à un cosmos cognitif interne, produit par la cohérence d’un système de savoir. Chaque corpus — grammatical, médical, mathématique — devient une micro-cosmologie, fermée, complète, autorégulée. Elle ne dit pas le monde tel qu’il est seulement : elle prescrit les conditions sous lesquelles il pourra être pensé, transmis, interprété et appliqué.</w:t>
      </w:r>
    </w:p>
    <w:p>
      <w:pPr>
        <w:pStyle w:val="BodyText"/>
        <w:rPr/>
      </w:pPr>
      <w:r>
        <w:rPr/>
        <w:t>Mais un tel ordre cognitif ne suffit pas à lui seul à réguler. Encore faut-il qu’il soit porté, gardé, manié et distribué par des agents capables d’en assurer la tenue pratique. C’est précisément à ce niveau que s’ouvre la cratialité épistémique : non plus dans la cohérence intrinsèque du savoir, mais dans sa prise en charge différenciée par des figures compétentes, par des lieux d’apprentissage, par des procédures de transmission qui rendent certains sujets autorisés à dire le vrai et d’autres condamnés à s’en remettre à eux.</w:t>
      </w:r>
    </w:p>
    <w:p>
      <w:pPr>
        <w:pStyle w:val="BodyText"/>
        <w:rPr/>
      </w:pPr>
      <w:r>
        <w:rPr/>
        <w:t>La cratialité épistémique ne s’exerce ni par charisme, ni par souveraineté territoriale, ni par mémoire dynastique. Elle s’actualise dans la maîtrise différentielle des savoirs institués, c’est-à-dire dans l’accès sélectif à un corpus, à un langage formel, à une syntaxe opératoire du vrai. L’archicrate n’est plus ici roi, prêtre ou chroniqueur : il est scribe, médecin, astronome, grammairien, maître, commentateur — autrement dit détenteur d’une compétence reconnue qui lui permet d’interpréter le réel sous une forme recevable.</w:t>
      </w:r>
    </w:p>
    <w:p>
      <w:pPr>
        <w:pStyle w:val="BodyText"/>
        <w:rPr/>
      </w:pPr>
      <w:r>
        <w:rPr/>
        <w:t>Dans cette configuration, la force ne passe plus par l’épée ni par l’inspiration divine, mais par la capacité à lire ce que d’autres ne peuvent lire, à manipuler des symboles que d’autres ne comprennent pas, à inférer des règles là où les profanes ne voient qu’un monde opaque. Le pouvoir s’exerce alors sans geste autoritaire visible, mais par supériorité cognitive : celui qui sait déchiffrer, classer, diagnostiquer ou démontrer oriente silencieusement l’interprétation du réel.</w:t>
      </w:r>
    </w:p>
    <w:p>
      <w:pPr>
        <w:pStyle w:val="BodyText"/>
        <w:rPr/>
      </w:pPr>
      <w:r>
        <w:rPr/>
        <w:t>Les études mésopotamiennes ont bien montré que l’apprentissage de l’écriture cunéiforme exigeait des années de formation et instituait une division stricte du travail cognitif. Les initiés de l’É-dubba pouvaient seuls lire certains textes, dresser des comptes, interpréter des présages ou manipuler les répertoires techniques. De même, dans les écoles philosophiques grecques, dans les milieux grammaticaux indiens ou dans les maisons savantes du monde islamique, la compétence intellectuelle devient principe de hiérarchisation : elle sépare le lecteur autorisé du profane, le commentateur accrédité du simple usager, l’interprète légitime de celui qui demeure extérieur au code.</w:t>
      </w:r>
    </w:p>
    <w:p>
      <w:pPr>
        <w:pStyle w:val="BodyText"/>
        <w:rPr/>
      </w:pPr>
      <w:r>
        <w:rPr/>
        <w:t>Interpréter, calculer, classer, diagnostiquer sont ainsi des actes d’autorité. Le pouvoir ne consiste pas ici à produire arbitrairement la norme, mais à garantir la validité de son application. Le scribe confirme, le médecin reconnaît, l’enseignant atteste, le maître oriente la répétition correcte. Comme l’ont suggéré, chacun à leur manière, Bruno Latour, Michel Foucault ou Pierre Bourdieu, le savoir agit alors comme principe privilégié de validation : il fonde une autorité qui n’a pas besoin d’être constamment coercitive pour structurer effectivement le champ du recevable.</w:t>
      </w:r>
    </w:p>
    <w:p>
      <w:pPr>
        <w:pStyle w:val="BodyText"/>
        <w:rPr/>
      </w:pPr>
      <w:r>
        <w:rPr/>
        <w:t>Si l’arcalité formalise un monde cognitif stable, et si la cratialité distribue les fonctions par monopole de compétence, l’archicration épistémique intervient là où le savoir devient instance explicite de validation, de certification, de clôture et parfois d’exclusion. Elle ne désigne ni l’exercice savant du savoir en général, ni la simple existence de corpus formalisés, mais la scène où une collectivité décide de ce qui fait savoir, de ce qui peut être enseigné, de qui peut exercer et selon quels protocoles.</w:t>
      </w:r>
    </w:p>
    <w:p>
      <w:pPr>
        <w:pStyle w:val="BodyText"/>
        <w:rPr/>
      </w:pPr>
      <w:r>
        <w:rPr/>
        <w:t>Le savoir devient pleinement archicratique lorsqu’il donne lieu à des procédures de certification. Dans les traditions scribales mésopotamiennes, la validation des exercices, la reconnaissance du maître ou l’achèvement d’un cursus distinguent celui qui sait véritablement de celui qui ne fait qu’apprendre. Dans d’autres configurations, l’archicration s’exerce par la hiérarchie des commentaires autorisés, la consécration de certains interprètes, la clôture canonique de certains corpus ou la limitation des usages recevables d’un texte fondateur. Le cœur du régime réside ici : non pas transmettre tout ce qui est su, mais décider de ce qui mérite d’être reconnu comme savoir valide.</w:t>
      </w:r>
    </w:p>
    <w:p>
      <w:pPr>
        <w:pStyle w:val="BodyText"/>
        <w:rPr/>
      </w:pPr>
      <w:r>
        <w:rPr/>
        <w:t>Il faut insister ici sur un point décisif : l’archicration épistémique n’est pas seulement une scène de conservation, mais une scène d’épreuve. Un savoir n’y est pas validé parce qu’il existe déjà, mais parce qu’il franchit des seuils de recevabilité déterminés : exactitude de la restitution, conformité de la méthode, légitimité du support, autorité du maître, compatibilité avec le corpus admis. C’est dans ce passage réglé entre savoir possible et savoir reconnu que se joue l’opération archicratique proprement dite. L’important n’est donc pas seulement la possession du contenu, mais la procédure par laquelle ce contenu devient publiquement, institutionnellement et collectivement tenable comme vrai.</w:t>
      </w:r>
    </w:p>
    <w:p>
      <w:pPr>
        <w:pStyle w:val="BodyText"/>
        <w:rPr/>
      </w:pPr>
      <w:r>
        <w:rPr/>
        <w:t>L’Académie de Platon, l’université médiévale, les maisons savantes sassanides, les madrasas ou les grandes institutions lettrées de transmission montrent, chacune à leur manière, cette opération. Le savoir n’y circule pas librement ; il passe par des formes d’habilitation, de hiérarchisation et de filtrage. Certains textes sont consacrés, d’autres marginalisés ; certains commentaires deviennent normatifs, d’autres sont retranchés ; certaines voix sont autorisées à interpréter, d’autres demeurent extérieures au champ légitime. L’archicration épistémique se loge donc dans cette articulation entre corpus, médiateurs, institutions et procédures de reconnaissance.</w:t>
      </w:r>
    </w:p>
    <w:p>
      <w:pPr>
        <w:pStyle w:val="BodyText"/>
        <w:rPr/>
      </w:pPr>
      <w:r>
        <w:rPr/>
        <w:t>Elle s’incarne aussi dans des opérateurs matériels concrets : manuels, tables, schémas, instruments, bibliothèques, dispositifs de classement. Ces formes ne sont pas secondaires. Les Éléments d’Euclide, les tables babyloniennes, les protocoles médicaux, les instruments astronomiques ou les topologies savantes des grandes bibliothèques montrent que la régulation passe aussi par des objets qui stabilisent les opérations intellectuelles et encadrent les parcours de pensée. Chaque format contraint ; chaque outil oriente ; chaque classification distribue silencieusement le champ du possible cognitif.</w:t>
      </w:r>
    </w:p>
    <w:p>
      <w:pPr>
        <w:pStyle w:val="BodyText"/>
        <w:rPr/>
      </w:pPr>
      <w:r>
        <w:rPr/>
        <w:t>Comme tout méta-régime, le régime épistémique connaît cependant ses fragilités. Il se déséquilibre lorsque les corpus deviennent trop massifs pour rester lisibles, lorsque la prolifération des commentaires dissout la cohérence du système, lorsque les médiateurs autorisés perdent leur crédibilité, ou encore lorsque des contre-régimes cognitifs concurrents — ésotériques, théologiques, expérimentaux, autodidactes — contestent l’unité du savoir reconnu. Il peut également être subordonné à d’autres régimes, lorsqu’un cadre théologique ou politique impose ses propres conditions de validation à l’intérieur du champ savant.</w:t>
      </w:r>
    </w:p>
    <w:p>
      <w:pPr>
        <w:pStyle w:val="BodyText"/>
        <w:rPr/>
      </w:pPr>
      <w:r>
        <w:rPr/>
        <w:t>Ces crises ne suppriment pas le régime épistémique ; elles en révèlent les conditions de possibilité. Pour qu’il régule effectivement, il faut que le savoir demeure à la fois formalisable, transmissible, validable et socialement reconnu. Lorsqu’un de ces termes se défait, l’intelligibilité commune se fragmente et la co-viabilité cognitive devient incertaine. Le savoir ne cesse pas d’exister, mais il perd sa capacité à faire ordre.</w:t>
      </w:r>
    </w:p>
    <w:p>
      <w:pPr>
        <w:pStyle w:val="BodyText"/>
        <w:rPr/>
      </w:pPr>
      <w:r>
        <w:rPr/>
        <w:t>Le méta-régime épistémique occupe ainsi une place singulière dans la typologie archicratique. Ni prescriptif comme le scripturo-normatif, ni narratif comme l’historiographique, ni transcendant comme le théologique, il repose sur une structure cognitive partageable, opératoire et reproductible. Il ne commande pas : il formalise. Il ne raconte pas : il classe. Il ne révèle pas : il démontre. Il produit une obligation sans commandement explicite, en stabilisant les conditions mêmes du pensable recevable.</w:t>
      </w:r>
    </w:p>
    <w:p>
      <w:pPr>
        <w:pStyle w:val="BodyText"/>
        <w:rPr/>
      </w:pPr>
      <w:r>
        <w:rPr/>
        <w:t>La co-viabilité qu’il instaure n’est donc ni d’abord morale, ni dynastique, ni cosmologique : elle est cognitive. Une société tient aussi parce qu’elle partage des formats de preuve, des procédures de validation, des découpages du réel et des langages d’intelligibilité communs.</w:t>
      </w:r>
    </w:p>
    <w:p>
      <w:pPr>
        <w:pStyle w:val="BodyText"/>
        <w:rPr/>
      </w:pPr>
      <w:r>
        <w:rPr/>
        <w:t>Ce méta-régime ne présuppose nullement l’homogénéité des sciences. Les formats de preuve, les modalités d’objectivation, les régimes de validation et les scènes de controverse varient fortement selon les domaines, les époques et les institutions. Ce qui les rend ici comparables n’est donc pas l’identité de leurs méthodes, mais le fait que la co-viabilité y passe prioritairement par la production, l’épreuve et la stabilisation réglée d’énoncés recevables comme vrais.</w:t>
      </w:r>
    </w:p>
    <w:p>
      <w:pPr>
        <w:pStyle w:val="BodyText"/>
        <w:rPr/>
      </w:pPr>
      <w:r>
        <w:rPr/>
        <w:t>Sous ce rapport, la raison n’est jamais neutre : elle est elle-même un dispositif de pouvoir, une forme d’organisation collective des conditions du vrai. Que la vérité soit historiquement produite, validée et socialement distribuée ne signifie pas qu’elle se réduise à un simple effet de pouvoir. Cela signifie surtout qu’aucun accès au vrai n’opère sans médiations, sans scènes d’épreuve, sans instruments, sans protocoles et sans communautés capables d’en soutenir ou d’en contester la validité. Le régime épistémique ne confond donc pas vérité et pouvoir ; il montre plutôt que la vérité, pour réguler, doit passer par des formes instituées d’objectivation, de critique et de recevabilité. En cela, l’archicration épistémique constitue une forme pleinement autonome de régulation.</w:t>
      </w:r>
    </w:p>
    <w:p>
      <w:pPr>
        <w:pStyle w:val="BodyText"/>
        <w:rPr/>
      </w:pPr>
      <w:r>
        <w:rPr/>
        <w:t>Plus profondément encore, ce méta-régime montre que l’intelligibilité n’est ni immédiatement disponible ni purement héritée : elle doit être construite, éprouvée, objectivée et stabilisée dans des procédures de validation explicites. Penser selon un schème, démontrer selon une méthode, classer selon une nomenclature, interpréter selon un protocole, ce n’est jamais uniquement connaître ; c’est aussi déjà participer à une forme de mise en ordre du monde commun.</w:t>
      </w:r>
    </w:p>
    <w:p>
      <w:pPr>
        <w:pStyle w:val="BodyText"/>
        <w:rPr/>
      </w:pPr>
      <w:r>
        <w:rPr/>
        <w:t>L’archicration épistémique ne se réduit pourtant pas à la seule discussion savante. Elle n’existe au sens fort que lorsque les énoncés, les preuves, les mesures, les instruments et les protocoles peuvent être exposés à une épreuve réelle, rendus méthodiquement opposables et transformés à l’issue de cette mise à l’épreuve. Là où la validation se ferme sur elle-même, où la critique devient fictive ou où la preuve ne peut plus être reprise, la scène épistémique se dégrade en autorité académique sans archicration effective.</w:t>
      </w:r>
    </w:p>
    <w:p>
      <w:pPr>
        <w:pStyle w:val="BodyText"/>
        <w:rPr/>
      </w:pPr>
      <w:r>
        <w:rPr/>
        <w:t>C’est pourquoi l’archicration épistémique excède largement les seules sociétés savantes antiques ou médiévales. Elle ouvre une logique de très longue durée, que les mondes modernes et contemporains n’ont cessé d’intensifier : celle d’un ordre qui ne s’autorise plus d’abord par le récit, la révélation ou le lignage, mais par la validation standardisée des procédures, des preuves et des compétences. À chaque fois, l’obligation n’est plus principalement dite, racontée ni révélée ; elle est prouvée, validée, référée, calculée. La maîtrise des procédures d’établissement du vrai devient ainsi l’un des principes les plus puissants de légitimation de l’ordre.</w:t>
      </w:r>
    </w:p>
    <w:p>
      <w:pPr>
        <w:pStyle w:val="BodyText"/>
        <w:rPr/>
      </w:pPr>
      <w:r>
        <w:rPr/>
        <w:t>Un tableau de synthèse de ce méta-régime est présenté en annexe.</w:t>
      </w:r>
    </w:p>
    <w:p>
      <w:pPr>
        <w:pStyle w:val="BodyText"/>
        <w:rPr/>
      </w:pPr>
      <w:r>
        <w:rPr/>
        <w:t>La sous-section suivante portera sur un autre régime archicratique : non plus celui de l’encodage savant du savoir, mais celui de l’efficacité régulatrice des formes sensibles. Avec l’archicration esthético-symbolique, l’ordre ne sera plus d’abord démontré ni classé : il sera configuré par la forme, la matière, la cadence et le style.</w:t>
      </w:r>
    </w:p>
    <w:p>
      <w:pPr>
        <w:pStyle w:val="Heading3"/>
        <w:numPr>
          <w:ilvl w:val="2"/>
          <w:numId w:val="2"/>
        </w:numPr>
        <w:rPr/>
      </w:pPr>
      <w:r>
        <w:rPr/>
        <w:t xml:space="preserve">2.2.9 — </w:t>
      </w:r>
      <w:r>
        <w:rPr>
          <w:i/>
          <w:iCs/>
        </w:rPr>
        <w:t>Archicrations esthético-symboliques</w:t>
      </w:r>
    </w:p>
    <w:p>
      <w:pPr>
        <w:pStyle w:val="BodyText"/>
        <w:rPr/>
      </w:pPr>
      <w:r>
        <w:rPr/>
        <w:t>Il existe des méta-régimes où le pouvoir ne dit presque rien, ne démontre presque rien, et ne se définit pas d’abord par la narration comme principe de validité, mais agit pourtant avec force. Les formes qu’il mobilise peuvent être narratives, scéniques ou figuratives ; leur efficacité ne tient cependant pas principalement à l’enchaînement d’un récit, mais à la configuration sensible qu’elles instaurent lorsqu’elle devient instituée, codifiée, répétée et collectivement reconnaissable. Nous désignons ici par archicration esthético-symbolique ce méta-régime dans lequel l’ordre se stabilise à travers l’agencement réglé du visible, du sonore, du gestuel, du spatial ou du tactile.</w:t>
      </w:r>
    </w:p>
    <w:p>
      <w:pPr>
        <w:pStyle w:val="BodyText"/>
        <w:rPr/>
      </w:pPr>
      <w:r>
        <w:rPr/>
        <w:t>Ce méta-régime engage donc d’abord une politique de la perception ; mais ses effets ne sont pas seulement perceptifs au sens étroit. Les formes qu’il stabilise orientent aussi des tonalités affectives, des dispositions émotionnelles et des seuils de supportabilité, sans que l’émotion constitue pour autant son principe unique de validité. Ce qui est premier ici n’est pas l’affect isolé, mais le champ sensible au sein duquel certaines émotions, certaines attitudes et certaines manières d’éprouver deviennent plus probables, plus recevables ou plus dissonantes.</w:t>
      </w:r>
    </w:p>
    <w:p>
      <w:pPr>
        <w:pStyle w:val="BodyText"/>
        <w:rPr/>
      </w:pPr>
      <w:r>
        <w:rPr/>
        <w:t>L’arcalité propre à ce régime réside dans la capacité de certaines formes à s’imposer comme matrices immédiates de convenance. Il ne s’agit pas d’ornement au sens faible, mais de configurations sensibles qui orientent les conduites sans les prescrire, hiérarchisent sans commandement explicite et rendent certaines apparences spontanément recevables tandis que d’autres deviennent déplacées, discordantes ou indignes. La norme n’y descend ni d’une transcendance, ni d’un code, ni d’un récit d’origine : elle émerge de la stabilisation partagée d’un certain ordre perceptif.</w:t>
      </w:r>
    </w:p>
    <w:p>
      <w:pPr>
        <w:pStyle w:val="BodyText"/>
        <w:rPr/>
      </w:pPr>
      <w:r>
        <w:rPr/>
        <w:t>Ce point est central : l’arcalité ne repose pas ici sur un principe explicite, mais sur une économie implicite de la perception. Ce qui est tenu pour valide ne procède pas d’une justification préalable, mais d’une familiarité stabilisée avec certaines formes. L’évidence ne vient pas après l’interprétation ; elle en conditionne la possibilité même. Le monde apparaît ainsi déjà configuré selon des lignes de convenance qui orientent en amont ce qui pourra être perçu, distingué ou jugé.</w:t>
      </w:r>
    </w:p>
    <w:p>
      <w:pPr>
        <w:pStyle w:val="BodyText"/>
        <w:rPr/>
      </w:pPr>
      <w:r>
        <w:rPr/>
        <w:t>Cette arcalité se laisse saisir dans plusieurs types de dispositifs. Des habitats proto-urbains comme ceux de Cucuteni-Trypillia ou de la vallée de l’Indus montrent comment la répétition de gabarits, d’orientations, de modules et de tracés peut produire une régularité collective sans passer par une monumentalité explicite ni par un discours normatif. De même, les textiles à motifs codifiés, les décors muraux récurrents, les postures ritualisées ou les séquences chorégraphiques stabilisées ne valent pas seulement comme expressions culturelles : ils fixent des seuils de convenance, distribuent des appartenances et rendent perceptibles les écarts admissibles.</w:t>
      </w:r>
    </w:p>
    <w:p>
      <w:pPr>
        <w:pStyle w:val="BodyText"/>
        <w:rPr/>
      </w:pPr>
      <w:r>
        <w:rPr/>
        <w:t>Ce régime s’incarne ainsi dans des motifs, des rythmes, des contrastes, des textures, des volumes, des scansions et des placements. Ce qui importe n’est pas le sens caché de chaque forme, mais sa capacité à produire de l’évidence partagée. Le style, ici, ne renvoie ni à une préférence individuelle ni à un supplément décoratif : il désigne une configuration devenue recevable par répétition, ajustement et reconnaissance. L’ordre n’y est pas dit ; il est montré. Et c’est précisément parce qu’il se présente sous la forme d’une convenance sensible qu’il peut opérer avec une telle profondeur, en amont même de l’argument, de la croyance ou de la preuve.</w:t>
      </w:r>
    </w:p>
    <w:p>
      <w:pPr>
        <w:pStyle w:val="BodyText"/>
        <w:rPr/>
      </w:pPr>
      <w:r>
        <w:rPr/>
        <w:t>L’arcalité esthético-symbolique ne doit donc pas être reléguée au rang d’accompagnement secondaire d’autres méta-régimes. Le sensible n’est jamais absent des autres formes de co-viabilité ; mais il ne devient archicratique au sens propre que lorsqu’il constitue la condition principale de recevabilité, c’est-à-dire lorsque la conformité ou la dissonance perceptive précède, oriente ou neutralise les formes discursives de validation. En ce sens, l’archicration esthético-symbolique constitue une modalité autonome de mise en ordre : non par prescription, non par narration, non par démonstration, mais par institution d’un champ perceptif partagé.</w:t>
      </w:r>
    </w:p>
    <w:p>
      <w:pPr>
        <w:pStyle w:val="BodyText"/>
        <w:rPr/>
      </w:pPr>
      <w:r>
        <w:rPr/>
        <w:t>Sa singularité apparaît avec netteté dès qu’on la compare aux autres méta-régimes. Contrairement au théologique, elle n’oblige pas par la source d’un énoncé révélé ; Contrairement à l’historiographique, elle ne stabilise pas principalement la continuité par la narration du passé ; contrairement à l’épistémique, elle ne formalise pas d’abord le réel par démonstration ou classification. Elle opère sur un autre plan : celui de l’évidence sensible, où l’ordre n’a pas besoin d’être d’abord cru, prouvé ou narrativement articulé pour commencer à agir. Les récits qu’elle peut mobiliser n’y valent pas d’abord comme chaînes de justification, mais comme compositions sensibles capables de configurer immédiatement la perception du recevable.</w:t>
      </w:r>
    </w:p>
    <w:p>
      <w:pPr>
        <w:pStyle w:val="BodyText"/>
        <w:rPr/>
      </w:pPr>
      <w:r>
        <w:rPr/>
        <w:t>La cratialité esthético-symbolique s’exerce dans la capacité différentielle à produire, stabiliser et distribuer les formes recevables. L’ordre ne s’y impose pas par décret, mais par la maîtrise des codes du visible, du gestuel, du sonore ou du spatial. Ceux qui savent composer les motifs légitimes, régler les intensités, disposer les corps, rythmer les apparitions ou configurer les espaces détiennent une puissance spécifique : non celle de commander explicitement, mais celle de faire exister le monde sous une forme tenue pour convenable.</w:t>
      </w:r>
    </w:p>
    <w:p>
      <w:pPr>
        <w:pStyle w:val="BodyText"/>
        <w:rPr/>
      </w:pPr>
      <w:r>
        <w:rPr/>
        <w:t>Cette puissance peut être observée dans des contextes très divers. Les décors muraux de Çatal Höyük, les fresques de Théra, certaines différenciations architecturales de l’âge du fer européen, les motifs céramiques de Lapita ou les dispositifs ornementaux et vestimentaires de plusieurs mondes africains subsahariens montrent tous une même logique : la forme n’y vaut pas seulement comme embellissement, mais comme opérateur de distinction, de hiérarchisation et d’ajustement collectif. L’autorité revient alors à ceux qui maîtrisent la syntaxe du perceptible, qu’il s’agisse de décorateurs, d’artisans, d’ordonnateurs de cérémonie, de compositeurs de gestes ou de gardiens d’un répertoire formel reconnu.</w:t>
      </w:r>
    </w:p>
    <w:p>
      <w:pPr>
        <w:pStyle w:val="BodyText"/>
        <w:rPr/>
      </w:pPr>
      <w:r>
        <w:rPr/>
        <w:t>Le style doit ici être entendu dans un sens fort. Il ne désigne ni une subjectivité expressive ni une simple signature, mais une convenance stabilisée. Styliser, dans ce cadre, c’est rendre une forme admissible, désirable ou honorable par le réglage des contrastes, des rythmes, des textures et des proportions. La cratialité esthético-symbolique réside précisément dans cette compétence à produire du recevable sans avoir à l’énoncer. Elle repose sur une distribution inégale du pouvoir de configurer les apparences, et donc d’orienter silencieusement ce qui pourra être reconnu comme digne, correct ou légitime.</w:t>
      </w:r>
    </w:p>
    <w:p>
      <w:pPr>
        <w:pStyle w:val="BodyText"/>
        <w:rPr/>
      </w:pPr>
      <w:r>
        <w:rPr/>
        <w:t>Cette asymétrie n’est pas toujours visible comme telle, précisément parce qu’elle opère en deçà de l’énonciation. Elle ne se manifeste pas nécessairement par des interdits explicites, mais par une capacité différenciée à faire exister certaines formes plutôt que d’autres. Le pouvoir ne réside pas tant dans l’imposition d’un contenu que dans la maîtrise des conditions d’apparition : ce qui est montré, ce qui est répété, ce qui est rendu saillant finit par s’imposer comme allant de soi, sans qu’il soit nécessaire d’en formuler la règle.</w:t>
      </w:r>
    </w:p>
    <w:p>
      <w:pPr>
        <w:pStyle w:val="BodyText"/>
        <w:rPr/>
      </w:pPr>
      <w:r>
        <w:rPr/>
        <w:t>L’archicration esthético-symbolique apparaît lorsque cette puissance formelle devient objet de réglage explicite, de sélection, de canalisation ou d’exclusion. Elle ne réside plus seulement dans l’existence d’un style ou dans la compétence de ceux qui le maîtrisent, mais dans les scènes où une collectivité détermine ce qui pourra paraître, circuler et faire autorité dans l’ordre du sensible. L’archicration commence donc là où les formes recevables cessent d’aller de soi et doivent être reconduites, arbitrées ou défendues.</w:t>
      </w:r>
    </w:p>
    <w:p>
      <w:pPr>
        <w:pStyle w:val="BodyText"/>
        <w:rPr/>
      </w:pPr>
      <w:r>
        <w:rPr/>
        <w:t>Cette opération peut prendre la forme d’une ritualisation du perceptible. Les dispositifs cérémoniels, les postures codifiées, les scansions sonores, les rythmes collectifs ou les mises en espace réglées ne transmettent pas seulement un contenu ; ils produisent une scène où l’accord sensible est rejoué comme condition de la tenue commune. Ce que Catherine Bell, Victor Turner ou Stanley Tambiah ont montré à propos des pratiques rituelles peut être repris ici dans une perspective archicratique : le rite agit comme appareil de configuration perceptive, en distribuant les intensités légitimes, en ordonnant les gestes recevables et en rendant immédiatement perceptible ce qui convient.</w:t>
      </w:r>
    </w:p>
    <w:p>
      <w:pPr>
        <w:pStyle w:val="BodyText"/>
        <w:rPr/>
      </w:pPr>
      <w:r>
        <w:rPr/>
        <w:t>Mais l’archicration esthético-symbolique se manifeste aussi dans le tri des formes admissibles. Elle devient particulièrement lisible lorsque certaines apparences sont consacrées tandis que d’autres sont rejetées comme déplacées, vulgaires, impures ou dangereuses. L’iconoclasme byzantin, les épurations stylistiques post-tridentines, ou encore certaines limitations figuratives dans les mondes islamiques montrent bien qu’il ne s’agit pas seulement de produire des formes, mais de gouverner les conditions mêmes de l’apparaître. L’archicration se loge alors dans cette capacité à sélectionner le visible légitime, à organiser le partage du sensible et à faire de la convenance formelle une condition de co-viabilité.</w:t>
      </w:r>
    </w:p>
    <w:p>
      <w:pPr>
        <w:pStyle w:val="BodyText"/>
        <w:rPr/>
      </w:pPr>
      <w:r>
        <w:rPr/>
        <w:t>C’est ici que le régime atteint son point le plus proprement archicratique : non lorsqu’une forme est simplement produite, mais lorsqu’elle devient enjeu de maintien collectif, c’est-à-dire lorsqu’il faut régler quelles apparitions soutiennent encore le monde commun et lesquelles l’exposent à la dissonance. L’archicration n’est donc pas la simple existence d’un style dominant ; elle est la scène, diffuse ou explicite, où se fixe la frontière entre le recevable et l’irrecevable dans l’ordre des formes.</w:t>
      </w:r>
    </w:p>
    <w:p>
      <w:pPr>
        <w:pStyle w:val="BodyText"/>
        <w:rPr/>
      </w:pPr>
      <w:r>
        <w:rPr/>
        <w:t>Comme tout méta-régime, l’archicration esthético-symbolique connaît ses fragilités. Elle se désactive lorsque les codes formels perdent leur lisibilité, lorsque la répétition stylistique se fige en décor sans force, lorsque plusieurs grammaires sensibles concurrentes entrent en conflit, ou encore lorsque les formes dominantes deviennent l’objet d’une reprise ironique, critique ou parodique. Dans tous ces cas, ce ne sont pas nécessairement les motifs, les gestes ou les dispositifs qui disparaissent, mais leur capacité à produire une reconnaissance immédiate du convenable.</w:t>
      </w:r>
    </w:p>
    <w:p>
      <w:pPr>
        <w:pStyle w:val="BodyText"/>
        <w:rPr/>
      </w:pPr>
      <w:r>
        <w:rPr/>
        <w:t>Ces crises peuvent prendre plusieurs figures. Il arrive que le régime s’épuise par saturation interne : surcharge ornementale, ritualisation vide, excès de codification. Il peut aussi être fragilisé par pluralisation perceptive, lorsque plusieurs styles ou plusieurs ordres du visible se disputent la légitimité sans qu’aucun ne s’impose durablement. Il peut enfin être déstabilisé par retournement critique, lorsque les codes mêmes du prestige, de la convenance ou de la majesté sont repris pour être moqués, renversés ou désacralisés.</w:t>
      </w:r>
    </w:p>
    <w:p>
      <w:pPr>
        <w:pStyle w:val="BodyText"/>
        <w:rPr/>
      </w:pPr>
      <w:r>
        <w:rPr/>
        <w:t>Mais ces désajustements n’abolissent pas le régime ; ils en révèlent les conditions d’efficacité. Pour qu’une archicration esthético-symbolique régule effectivement, il faut que les formes demeurent lisibles, que leur hiérarchie reste partageable, et que leur reprise continue d’orienter les perceptions sans devoir constamment se justifier. Lorsque cette triple condition se défait, le style persiste peut-être, mais il cesse de faire ordre. Le sensible ne disparaît pas ; il perd simplement sa puissance immédiate de co-viabilité.</w:t>
      </w:r>
    </w:p>
    <w:p>
      <w:pPr>
        <w:pStyle w:val="BodyText"/>
        <w:rPr/>
      </w:pPr>
      <w:r>
        <w:rPr/>
        <w:t>Dans certaines configurations plus récentes, cette dynamique atteint un degré réflexif inédit, lorsque des collectifs entreprennent de reconfigurer explicitement les formes du visible afin de transformer les conditions mêmes du recevable. Certains mouvements artistiques — qu’il s’agisse des avant-gardes européennes du début du XXe siècle ou de formes plus situées de réélaboration stylistique — ne se contentent plus de produire des œuvres, mais interviennent sur les seuils de lisibilité du monde sensible lui-même. Ils déplacent les critères de convenance, déstabilisent les hiérarchies perceptives, introduisent des formes jusque-là disqualifiées dans l’espace du recevable. Dans ces moments, l’esthético-symbolique cesse d’opérer à bas bruit : il devient explicitement conflictuel. Ce ne sont plus seulement les formes qui régulent les conduites, mais la régulation des formes elle-même qui devient objet de lutte, révélant en creux la dimension archicratique du style comme opérateur de co-viabilité.</w:t>
      </w:r>
    </w:p>
    <w:p>
      <w:pPr>
        <w:pStyle w:val="BodyText"/>
        <w:rPr/>
      </w:pPr>
      <w:r>
        <w:rPr/>
        <w:t>Le méta-régime esthético-symbolique se distingue par une propriété singulière : il n’organise pas l’ordre en le disant, en le racontant ou en le démontrant, mais en le rendant immédiatement perceptible. Là où d’autres régimes produisent de l’obligation par l’énoncé, la mémoire ou la preuve, celui-ci la fait naître d’un accord sensible, d’une reconnaissance tacite de ce qui apparaît comme convenable.</w:t>
      </w:r>
    </w:p>
    <w:p>
      <w:pPr>
        <w:pStyle w:val="BodyText"/>
        <w:rPr/>
      </w:pPr>
      <w:r>
        <w:rPr/>
        <w:t>Sa force tient à cette immanence : l’ordre n’y est pas référé à un principe extérieur, mais inscrit dans les formes mêmes par lesquelles le monde se donne à voir, à entendre ou à éprouver. Motifs, rythmes, postures, textures, agencements spatiaux ou scénographies constituent autant de matrices par lesquelles une collectivité stabilise ce qu’elle peut reconnaître comme admissible. La co-viabilité ne repose plus ici sur une croyance partagée ou sur une norme explicite, mais sur une compatibilité des perceptions et des affects, rendue possible par la régulation du sensible.</w:t>
      </w:r>
    </w:p>
    <w:p>
      <w:pPr>
        <w:pStyle w:val="BodyText"/>
        <w:rPr/>
      </w:pPr>
      <w:r>
        <w:rPr/>
        <w:t>L’archicration esthético-symbolique apparaît ainsi comme une politique implicite de la perception. Elle ne commande pas les conduites ; elle configure les conditions dans lesquelles certaines conduites apparaissent immédiatement appropriées dans un cadre perceptif donné, tandis que d’autres y deviennent difficilement formulables, recevables ou soutenables sans justification supplémentaire. Elle ne produit pas une vérité à laquelle il faudrait adhérer, mais un monde dans lequel il devient naturel de s’ajuster.</w:t>
      </w:r>
    </w:p>
    <w:p>
      <w:pPr>
        <w:pStyle w:val="BodyText"/>
        <w:rPr/>
      </w:pPr>
      <w:r>
        <w:rPr/>
        <w:t>Dans l’économie générale de l’archicratie, ce méta-régime occupe donc une position irréductible. Il ne se substitue pas aux autres, mais les accompagne, les renforce ou les infléchit en agissant en amont du langage et de la justification. Il constitue la couche perceptive à partir de laquelle d’autres formes de régulation peuvent ensuite se déployer.</w:t>
      </w:r>
    </w:p>
    <w:p>
      <w:pPr>
        <w:pStyle w:val="BodyText"/>
        <w:rPr/>
      </w:pPr>
      <w:r>
        <w:rPr/>
        <w:t>C’est pourquoi l’archicration esthético-symbolique doit être comprise comme une modalité autonome de mise en ordre : non par prescription, non par narration, non par démonstration, mais par institution d’un régime de perception partagé. Elle ne dit pas ce qui doit être ; elle fait en sorte que certaines formes d’être apparaissent comme allant de soi. Elle n’impose donc pas directement des énoncés ; elle configure les conditions dans lesquelles certains énoncés, certaines postures, certaines émotions et certaines conduites pourront ensuite apparaître comme évidents, plausibles ou acceptables.</w:t>
      </w:r>
    </w:p>
    <w:p>
      <w:pPr>
        <w:pStyle w:val="BodyText"/>
        <w:rPr/>
      </w:pPr>
      <w:r>
        <w:rPr/>
        <w:t>En ce sens, l’archicration esthético-symbolique engage une dimension particulièrement profonde de la co-viabilité : non plus seulement la coordination des actions ou l’accord des croyances, mais l’ajustement des perceptions elles-mêmes. Elle opère au niveau où le monde devient immédiatement habitable ou non, acceptable ou dissonant, familier ou étranger. C’est pourquoi elle peut être à la fois discrète dans ses manifestations et décisive dans ses effets : elle ne transforme pas seulement ce que les sujets font ou pensent, mais la manière même dont ils éprouvent ce qui leur est donné.</w:t>
      </w:r>
    </w:p>
    <w:p>
      <w:pPr>
        <w:pStyle w:val="BodyText"/>
        <w:rPr/>
      </w:pPr>
      <w:r>
        <w:rPr/>
        <w:t>En cela, ce régime rappelle qu’une société ne tient pas seulement par ce qu’elle croit vrai, par ce qu’elle déclare juste ou par ce qu’elle sait démontrer, mais aussi par ce qu’elle parvient à rendre immédiatement supportable, harmonieux et reconnaissable à travers ses formes. Il existe donc une gouvernementalité du sensible, discrète mais décisive, dans laquelle la stabilité d’un monde dépend de la tenue perceptive de ses apparences. C’est cette profondeur infra-discursive de la régulation que l’archicration esthético-symbolique rend ici particulièrement lisible.</w:t>
      </w:r>
    </w:p>
    <w:p>
      <w:pPr>
        <w:pStyle w:val="BodyText"/>
        <w:rPr/>
      </w:pPr>
      <w:r>
        <w:rPr/>
        <w:t>Un tableau de synthèse de ce méta-régime est présenté en annexe.</w:t>
      </w:r>
    </w:p>
    <w:p>
      <w:pPr>
        <w:pStyle w:val="BodyText"/>
        <w:rPr/>
      </w:pPr>
      <w:r>
        <w:rPr/>
        <w:t>La sous-section suivante portera sur un autre régime archicratique : celui dans lequel l’obligation commune ne se stabilise ni par la forme sensible, ni par la mémoire, ni par le savoir, mais par l’édiction, la contestation et la révision publiques de normes générales au sein d’un espace politique institué. Avec l’archicration normativo-politique, l’ordre ne sera plus d’abord configuré par le sensible, mais exposé à la contradiction réglée du commun.</w:t>
      </w:r>
    </w:p>
    <w:p>
      <w:pPr>
        <w:pStyle w:val="Heading3"/>
        <w:numPr>
          <w:ilvl w:val="2"/>
          <w:numId w:val="2"/>
        </w:numPr>
        <w:rPr/>
      </w:pPr>
      <w:r>
        <w:rPr/>
        <w:t xml:space="preserve">2.2.10 — </w:t>
      </w:r>
      <w:r>
        <w:rPr>
          <w:i/>
          <w:iCs/>
        </w:rPr>
        <w:t>Archicrations normativo-politiques</w:t>
      </w:r>
    </w:p>
    <w:p>
      <w:pPr>
        <w:pStyle w:val="BodyText"/>
        <w:rPr/>
      </w:pPr>
      <w:r>
        <w:rPr/>
        <w:t xml:space="preserve">Il est des formes de régulation dans lesquelles la co-viabilité ne repose ni sur la mémoire incorporée, ni sur l’autorité sacrée, ni sur la technicité des procédures, ni sur la preuve savante, mais sur une capacité proprement politique à produire, exposer, contester et réviser publiquement l’obligation commune. Nous désignons ici par </w:t>
      </w:r>
      <w:r>
        <w:rPr>
          <w:i/>
          <w:iCs/>
        </w:rPr>
        <w:t>archicration normativo-politique</w:t>
      </w:r>
      <w:r>
        <w:rPr/>
        <w:t xml:space="preserve"> le méta-régime dans lequel une collectivité se donne des normes générales opposables, dans un cadre politique institué de décision et d’imputabilité, tout en reconnaissant la légitimité procédurale de leur mise en débat.</w:t>
      </w:r>
    </w:p>
    <w:p>
      <w:pPr>
        <w:pStyle w:val="BodyText"/>
        <w:rPr/>
      </w:pPr>
      <w:r>
        <w:rPr/>
        <w:t>Ce qui singularise ce régime n’est donc ni l’existence d’un texte, ni la présence d’une autorité gouvernante, ni même la formulation explicite d’une règle. Son trait distinctif réside dans l’articulation de trois éléments : une norme générale adressée au corps politique tout entier ; une instance profane habilitée à l’énoncer ; une scène réglée où cette norme peut être contestée, amendée, suspendue ou reformulée. La règle ne vaut pas ici principalement parce qu’elle descend d’un principe supérieur, reproduit une tradition ou résulte d’une démonstration ; elle vaut parce qu’elle est publiquement formulée comme obligation commune dans un espace institué de contradiction.</w:t>
      </w:r>
    </w:p>
    <w:p>
      <w:pPr>
        <w:pStyle w:val="BodyText"/>
        <w:rPr/>
      </w:pPr>
      <w:r>
        <w:rPr/>
        <w:t>Dans ce cadre, les différentes dimensions du politique trouvent leur place sans se confondre. Le droit et la législation constituent la forme privilégiée de l’arcalité normativo-politique, en tant qu’ils rendent la règle générale explicite, opposable et amendable. Les dispositifs et politiques publiques relèvent quant à eux principalement de la cratialité : ils assurent la mise en œuvre concrète des normes, leur traduction opératoire et leur inscription dans des formes d’action, d’administration et de gouvernement. Enfin, le débat politique — sous ses formes institutionnelles ou élargies — constitue l’une des expressions majeures de l’archicration, en tant qu’il expose la norme à la contradiction, à la révision et à la reformulation. L’idéologie, pour sa part, ne constitue pas un niveau distinct : elle traverse ces différentes dimensions, pouvant à la fois orienter les principes de fondation, structurer les dispositifs et configurer les cadres de la conflictualité.</w:t>
      </w:r>
    </w:p>
    <w:p>
      <w:pPr>
        <w:pStyle w:val="BodyText"/>
        <w:rPr/>
      </w:pPr>
      <w:r>
        <w:rPr/>
        <w:t>L’arcalité propre à ce régime réside ainsi dans une classe particulière d’objets : lois, statuts, édits civiques, déclarations de principes, ordonnances générales ou règles collectives formulées comme valables pour tous dans un espace politique donné.</w:t>
      </w:r>
    </w:p>
    <w:p>
      <w:pPr>
        <w:pStyle w:val="BodyText"/>
        <w:rPr/>
      </w:pPr>
      <w:r>
        <w:rPr/>
        <w:t>Ces objets n’épuisent pourtant pas à eux seuls la réalité du méta-régime. Leur effectivité dépend de la manière dont ils sont relayés par des dispositifs d’application, des administrations, des instruments d’action publique et des scènes de débat qui en maintiennent ou en déplacent la portée. La norme n’existe politiquement qu’à travers l’ensemble des médiations qui la rendent à la fois agissante et discutable.</w:t>
      </w:r>
    </w:p>
    <w:p>
      <w:pPr>
        <w:pStyle w:val="BodyText"/>
        <w:rPr/>
      </w:pPr>
      <w:r>
        <w:rPr/>
        <w:t>Ces normes ne se contentent pas de décrire un ordre antérieur ; elles le formalisent pour le rendre visible, opposable et révisable. Ce qui les fonde n’est ni leur ancienneté, ni leur sacralité, ni leur seule inscription, mais leur modalité d’énonciation publique et leur prétention à régler le commun sous condition d’amendement.</w:t>
      </w:r>
    </w:p>
    <w:p>
      <w:pPr>
        <w:pStyle w:val="BodyText"/>
        <w:rPr/>
      </w:pPr>
      <w:r>
        <w:rPr/>
        <w:t xml:space="preserve">Plusieurs configurations historiques permettent d’en saisir la logique. À Athènes, la distinction entre </w:t>
      </w:r>
      <w:r>
        <w:rPr>
          <w:i/>
          <w:iCs/>
        </w:rPr>
        <w:t>nomos</w:t>
      </w:r>
      <w:r>
        <w:rPr/>
        <w:t xml:space="preserve"> et décret ponctuel marque déjà l’émergence d’une règle générale exposée à la procédure de révision. À Rome, la </w:t>
      </w:r>
      <w:r>
        <w:rPr>
          <w:i/>
          <w:iCs/>
        </w:rPr>
        <w:t>lex rogata</w:t>
      </w:r>
      <w:r>
        <w:rPr/>
        <w:t xml:space="preserve"> affichée et promulguée vaut comme norme opposable au corps civique tout entier. Dans les cités communales italiennes, les statuts municipaux forment également des ensembles de règles publiques, amendables et archivées, qui n’ont pas besoin d’une fondation théologique pour produire de l’obligation. Dans d’autres contextes encore, y compris non européens, on rencontre des formes orales mais formalisées de règle collective déclarée devant tous, à travers des conseils ou des assemblées habilitées à rendre la norme commune, publique et révisable.</w:t>
      </w:r>
    </w:p>
    <w:p>
      <w:pPr>
        <w:pStyle w:val="BodyText"/>
        <w:rPr/>
      </w:pPr>
      <w:r>
        <w:rPr/>
        <w:t>L’arcalité normativo-politique ne repose donc ni sur le texte en tant que relique, ni sur le document en tant que preuve, ni sur la tradition en tant qu’héritage. Elle repose sur une norme générale tenue pour légitime parce qu’elle a été énoncée dans les formes politiques reconnues, adressée au collectif comme telle, et maintenue dans l’horizon de sa possible reprise. La règle n’y est pas vénérée : elle est exposée.</w:t>
      </w:r>
    </w:p>
    <w:p>
      <w:pPr>
        <w:pStyle w:val="BodyText"/>
        <w:rPr/>
      </w:pPr>
      <w:r>
        <w:rPr/>
        <w:t>Cette exposition ne doit pas être comprise au sens minimal d’une simple publicité matérielle. Elle transforme le statut même de la norme : celle-ci n’est plus seulement tenue pour applicable, mais devient un objet politique distinct, identifiable, adressable, susceptible d’être repris par d’autres que ses énonciateurs initiaux. L’arcalité normativo-politique ne se réduit donc pas à la généralité abstraite de la règle ; elle suppose que le commun puisse se reconnaître comme destinataire d’une obligation formulée en son nom.</w:t>
      </w:r>
    </w:p>
    <w:p>
      <w:pPr>
        <w:pStyle w:val="BodyText"/>
        <w:rPr/>
      </w:pPr>
      <w:r>
        <w:rPr/>
        <w:t>Si l’arcalité du régime normativo-politique repose sur la formulation publique d’une règle générale opposable, sa cratialité réside dans les instances légitimes qui peuvent parler au nom du commun pour édicter cette règle. Le pouvoir normatif n’y procède ni d’une consécration sacrale, ni d’une expertise savante, ni d’une simple maîtrise documentaire. Il procède d’une habilitation politique reconnue : mandat, élection, tirage, désignation collégiale, délégation civique. La cratialité normativo-politique est donc une autorité d’énonciation instituée, profane et limitée.</w:t>
      </w:r>
    </w:p>
    <w:p>
      <w:pPr>
        <w:pStyle w:val="BodyText"/>
        <w:rPr/>
      </w:pPr>
      <w:r>
        <w:rPr/>
        <w:t>Dans ce régime, édicter la norme n’est pas appliquer mécaniquement un ordre supérieur ; c’est accomplir un acte politique autorisé dans un cadre reconnu. Athènes, Rome, certaines républiques urbaines médiévales ou encore diverses assemblées politiques non européennes montrent, chacune à leur manière, que cette autorité n’est pas celle d’un détenteur de vérité, mais celle d’un organe habilité à formuler du général pour le collectif. Ce qui importe n’est pas la figure personnelle du gouvernant, mais le statut politique de l’instance qui énonce et la reconnaissance du droit qu’elle possède à engager publiquement l’obligation commune.</w:t>
      </w:r>
    </w:p>
    <w:p>
      <w:pPr>
        <w:pStyle w:val="BodyText"/>
        <w:rPr/>
      </w:pPr>
      <w:r>
        <w:rPr/>
        <w:t>Cette cratialité se distingue donc rigoureusement d’autres formes de puissance régulatrice. Elle n’est pas sacrale, puisqu’elle ne parle pas au nom d’une transcendance ; elle n’est pas épistémique, car elle ne tire pas son autorité d’une démonstration ; elle n’est pas scripturo-bureaucratique, puisqu’elle ne vaut pas par la seule conformité documentaire ; enfin, elle n’est pas esthético-symbolique, elle ne s’impose pas par convenance sensible. Sa spécificité tient au fait que la norme contraint parce qu’elle a été énoncée par une autorité politiquement reconnue comme compétente pour engager le commun dans les formes instituées du politique commun.</w:t>
      </w:r>
    </w:p>
    <w:p>
      <w:pPr>
        <w:pStyle w:val="BodyText"/>
        <w:rPr/>
      </w:pPr>
      <w:r>
        <w:rPr/>
        <w:t>Il faut ici insister sur un point décisif : la cratialité normativo-politique n’est pas la simple détention d’un pouvoir de commandement, mais la capacité reconnue d’engager le collectif par une parole imputable. Elle suppose donc non seulement une habilitation, mais aussi une responsabilité. Celui qui édicte n’agit ni au nom d’une vérité qui le dépasserait entièrement, ni comme relais neutre d’un dispositif préconstitué ; il intervient dans un espace où son acte peut être repris, discuté, contesté et éventuellement corrigé.</w:t>
      </w:r>
    </w:p>
    <w:p>
      <w:pPr>
        <w:pStyle w:val="BodyText"/>
        <w:rPr/>
      </w:pPr>
      <w:r>
        <w:rPr/>
        <w:t>Dans les régimes où la norme vaut parce qu’elle a été instituée dans un espace politique légitime, l’archicration apparaît lorsque cette norme devient elle-même l’objet d’une épreuve réglée. Ce qui est alors mis en jeu n’est ni la fidélité à une source, ni la cohérence d’un savoir, ni la validité d’une procédure technique, mais la recevabilité publique de la règle comme obligation commune. L’archicration normativo-politique désigne donc la scène dans laquelle une collectivité organise le droit de contester, d’amender, de suspendre ou d’abroger ses propres normes générales.</w:t>
      </w:r>
    </w:p>
    <w:p>
      <w:pPr>
        <w:pStyle w:val="BodyText"/>
        <w:rPr/>
      </w:pPr>
      <w:r>
        <w:rPr/>
        <w:t xml:space="preserve">Sa spécificité tient à ceci : le désaccord n’y est pas une défaillance du régime, mais l’une de ses conditions internes de légitimation. Assemblées, procédures d’appel, chambres de révision, objections formalisées, droits de veto ou de recours, consultations contradictoires constituent autant de formes par lesquelles la norme demeure tenue parce qu’elle reste exposée à la contradiction. Athènes avec la </w:t>
      </w:r>
      <w:r>
        <w:rPr>
          <w:i/>
          <w:iCs/>
        </w:rPr>
        <w:t>graphè paranomôn</w:t>
      </w:r>
      <w:r>
        <w:rPr/>
        <w:t>, Rome avec certaines formes d’appel politique, ou diverses traditions délibératives où une décision collective peut être reprise dans un lieu et un temps institués, montrent que la règle n’y est forte qu’à condition de n’être jamais absolument close.</w:t>
      </w:r>
    </w:p>
    <w:p>
      <w:pPr>
        <w:pStyle w:val="BodyText"/>
        <w:rPr/>
      </w:pPr>
      <w:r>
        <w:rPr/>
        <w:t>L’archicration normativo-politique ne doit donc pas être confondue avec la simple existence d’un débat ou d’une assemblée. Elle commence seulement lorsqu’une procédure reconnue permet de transformer le conflit sur la norme en opérateur de régulation. Ce n’est pas le désordre qui y est légitimé, mais le différend réglé ; ce n’est pas la dissolution de la règle, mais son entretien public par exposition à la reprise. La co-viabilité n’y repose pas sur la suppression de la contradiction, mais sur son institution.</w:t>
      </w:r>
    </w:p>
    <w:p>
      <w:pPr>
        <w:pStyle w:val="BodyText"/>
        <w:rPr/>
      </w:pPr>
      <w:r>
        <w:rPr/>
        <w:t>Ce qui fait la singularité irréductible de ce méta-régime, ce n’est ni la généralité de la norme, ni sa publicité formelle, ni même son inscription. Ce qui le définit, c’est la présence d’une scène instituée dans laquelle la norme est mise en débat non pas parce qu’elle est contestée, mais parce qu’elle doit l’être pour être tenue.</w:t>
      </w:r>
    </w:p>
    <w:p>
      <w:pPr>
        <w:pStyle w:val="BodyText"/>
        <w:rPr/>
      </w:pPr>
      <w:r>
        <w:rPr/>
        <w:t>La règle y est forte parce qu’elle est exposée à la faiblesse argumentée. L’ordre y tient parce qu’il s’offre à la critique réglée. La co-viabilité y repose non sur l’adhésion, mais sur la possibilité d’intervenir dans l’élaboration, la contestation ou la modification de l’obligation commune.</w:t>
      </w:r>
    </w:p>
    <w:p>
      <w:pPr>
        <w:pStyle w:val="BodyText"/>
        <w:rPr/>
      </w:pPr>
      <w:r>
        <w:rPr/>
        <w:t>En ce sens, l’</w:t>
      </w:r>
      <w:r>
        <w:rPr>
          <w:i/>
          <w:iCs/>
        </w:rPr>
        <w:t>archicration normativo-politique</w:t>
      </w:r>
      <w:r>
        <w:rPr/>
        <w:t xml:space="preserve"> n’est pas une simple régulation du conflit : elle est la formalisation du droit à la dissension, dans un cadre qui transforme cette dissension en opérateur de légitimité.</w:t>
      </w:r>
    </w:p>
    <w:p>
      <w:pPr>
        <w:pStyle w:val="BodyText"/>
        <w:rPr/>
      </w:pPr>
      <w:r>
        <w:rPr/>
        <w:t>Cela implique que la contradiction n’y soit jamais pure négativité. Elle doit être distinguée du refus brut, de la sédition informe ou de la simple obstruction. Dans ce régime, contester, c’est encore participer à la tenue du commun, dès lors que cette contestation emprunte les formes reconnues de la reprise. L’archicration normativo-politique transforme ainsi l’opposition en ressource de légitimation : non parce qu’elle célèbre indéfiniment le dissensus, mais parce qu’elle fait de sa mise en forme la condition d’une obligation durablement soutenable.</w:t>
      </w:r>
    </w:p>
    <w:p>
      <w:pPr>
        <w:pStyle w:val="BodyText"/>
        <w:rPr/>
      </w:pPr>
      <w:r>
        <w:rPr/>
        <w:t>Comme tout méta-régime, l’archicration normativo-politique connaît ses fragilités. Elle se désactive lorsque la norme demeure formellement publique mais cesse d’être réellement contestable ; lorsque les procédures de révision deviennent purement décoratives ; lorsque l’accès à la scène contradictoire est réservé de fait à quelques acteurs seulement ; ou encore lorsque la production normative est absorbée par d’autres logiques de légitimation.</w:t>
      </w:r>
    </w:p>
    <w:p>
      <w:pPr>
        <w:pStyle w:val="BodyText"/>
        <w:rPr/>
      </w:pPr>
      <w:r>
        <w:rPr/>
        <w:t>L’idéologie n’apparaît pas ici comme une vulgaire couche ajoutée au droit ou au débat. Elle travaille le méta-régime de l’intérieur : en amont, lorsqu’elle oriente les principes au nom desquels la norme se présente comme commune ; au milieu, lorsqu’elle informe la sélection des instruments, des politiques publiques et des priorités de gouvernement ; en aval, lorsqu’elle configure les lignes de partage du conflit, les styles d’argumentation et les formes recevables de la dissension. Elle ne se substitue donc ni à la loi, ni au dispositif, ni au débat, mais traverse leur articulation et peut en renforcer ou en déformer la dynamique propre.</w:t>
      </w:r>
    </w:p>
    <w:p>
      <w:pPr>
        <w:pStyle w:val="BodyText"/>
        <w:rPr/>
      </w:pPr>
      <w:r>
        <w:rPr/>
        <w:t>Trois dérives principales peuvent alors être observées. La première est la clôture de la norme : ce qui devait rester amendable devient intangible, soit par sacralisation, soit par routinisation. La deuxième est la technicisation : la règle conserve son apparence politique, mais sa fabrication réelle passe sous le contrôle d’opérateurs experts, administratifs ou gestionnaires, qui neutralisent la contradiction au profit de l’efficacité. La troisième est l’esthétisation ou la ritualisation : la norme subsiste comme forme solennelle, affichée et célébrée, mais n’est plus véritablement exposée à l’épreuve du dissensus.</w:t>
      </w:r>
    </w:p>
    <w:p>
      <w:pPr>
        <w:pStyle w:val="BodyText"/>
        <w:rPr/>
      </w:pPr>
      <w:r>
        <w:rPr/>
        <w:t>Ces dérives n’abolissent pas nécessairement le régime ; elles en révèlent plutôt les conditions de possibilité. Pour qu’une archicration normativo-politique demeure effective, il faut que la norme reste publiquement formulée, que l’autorité qui l’édicte demeure politiquement imputable, et que la contradiction conserve une prise réelle sur la règle. Lorsque l’un de ces trois termes se défait, la norme persiste peut-être ; mais elle cesse d’être tenue selon le mode proprement normativo-politique.</w:t>
      </w:r>
    </w:p>
    <w:p>
      <w:pPr>
        <w:pStyle w:val="BodyText"/>
        <w:rPr/>
      </w:pPr>
      <w:r>
        <w:rPr/>
        <w:t>Parvenue à son point de clôture, cette analyse permet d’affirmer l’existence d’un méta-régime spécifique de régulation, irréductible aux configurations sacrales, scripturales, techniciennes, savantes ou esthético-symboliques. Son architecture tient dans un triptyque net : une arcalité fondée sur la formulation publique de normes générales opposables ; une cratialité localisée dans des instances politiques profanes habilitées à parler au nom du commun ; une archicration structurée par la possibilité instituée de contester, réviser et reformuler la règle.</w:t>
      </w:r>
    </w:p>
    <w:p>
      <w:pPr>
        <w:pStyle w:val="BodyText"/>
        <w:rPr/>
      </w:pPr>
      <w:r>
        <w:rPr/>
        <w:t>Ce qui fait sa singularité profonde n’est ni la présence d’un texte, ni la simple existence d’une autorité, mais la reconnaissance explicite d’un droit de dissension réglé. La norme y oblige non d’abord parce qu’elle serait vraie, sacrée ou techniquement optimale, mais parce qu’elle a été politiquement énoncée dans des formes qui rendent possible sa mise à l’épreuve.</w:t>
      </w:r>
    </w:p>
    <w:p>
      <w:pPr>
        <w:pStyle w:val="BodyText"/>
        <w:rPr/>
      </w:pPr>
      <w:r>
        <w:rPr/>
        <w:t>Le débat politique n’est donc pas ici un supplément expressif ou une scène secondaire d’opinion. Il constitue l’une des formes majeures de l’archicration elle-même, dès lors qu’il permet de transformer une opposition diffuse en contradiction réglée, de déplacer la norme sans la dissoudre, et de rendre visible la prise effective du dissensus sur l’obligation commune. Là où le débat n’est plus qu’un théâtre sans effet, la forme normativo-politique subsiste peut-être ; mais elle se vide de son ressort archicratique propre.</w:t>
      </w:r>
    </w:p>
    <w:p>
      <w:pPr>
        <w:pStyle w:val="BodyText"/>
        <w:rPr/>
      </w:pPr>
      <w:r>
        <w:rPr/>
        <w:t>C’est précisément en cela que ce régime occupe une place singulière dans la topologie archicratique générale. D’autres méta-régimes tendent à stabiliser l’obligation en la soustrayant autant que possible à la remise en cause ; le régime normativo-politique, lui, la stabilise en l’exposant. Sa force propre n’est pas de neutraliser la contestation, mais de lui donner forme. Il produit un ordre qui ne se maintient pas malgré la possibilité du conflit normatif, mais par son institution même.</w:t>
      </w:r>
    </w:p>
    <w:p>
      <w:pPr>
        <w:pStyle w:val="BodyText"/>
        <w:rPr/>
      </w:pPr>
      <w:r>
        <w:rPr/>
        <w:t>L’archicration normativo-politique rend ainsi possible une forme spécifique de régulation : une obligation collective sans clôture transcendante, une contrainte sans dogme et une stabilité principiellement amendable. Elle ne constitue ni l’horizon achevé du politique, ni sa forme supérieure ; mais elle désigne l’un des régimes dans lesquels une collectivité accepte de se régler elle-même à condition de reconnaître que ses propres règles demeurent, en droit, discutables. Elle occupe en cela une place pleinement irréductible dans la typologie archicratique. Un tableau de synthèse de ce méta-régime est présenté en annexe.</w:t>
      </w:r>
    </w:p>
    <w:p>
      <w:pPr>
        <w:pStyle w:val="Heading3"/>
        <w:numPr>
          <w:ilvl w:val="2"/>
          <w:numId w:val="2"/>
        </w:numPr>
        <w:rPr/>
      </w:pPr>
      <w:r>
        <w:rPr/>
        <w:t xml:space="preserve">2.2.11 — </w:t>
      </w:r>
      <w:r>
        <w:rPr>
          <w:i/>
          <w:iCs/>
        </w:rPr>
        <w:t>Archicrations marchandes</w:t>
      </w:r>
    </w:p>
    <w:p>
      <w:pPr>
        <w:pStyle w:val="BodyText"/>
        <w:rPr/>
      </w:pPr>
      <w:r>
        <w:rPr/>
        <w:t>Parmi les méta-régimes de co-viabilité que nous mettons au jour, le régime marchand occupe une place singulière. Il est souvent réduit à une simple fonction d’échange, ou projeté dans les catégories modernes du marché autorégulé ; pourtant, dans de nombreuses sociétés historiques, la scène marchande a constitué un espace de régulation propre, capable de produire de l’ordre sans que sa validité première repose sur une transcendance, sur une souveraineté centrale ou sur un dogme préalable. Nous désignons ici par archicration marchande ce méta-régime dans lequel le lien social se règle à travers l’épreuve située de la valeur, c’est-à-dire par la reconnaissance négociée d’équivalences, d’engagements et de garanties.</w:t>
      </w:r>
    </w:p>
    <w:p>
      <w:pPr>
        <w:pStyle w:val="BodyText"/>
        <w:rPr/>
      </w:pPr>
      <w:r>
        <w:rPr/>
        <w:t>Ce régime ne repose pas d’abord sur la révélation, sur la vérité savante, sur la seule force de la loi ou sur la simple efficacité logistique. Il suppose qu’un accord puisse être rendu possible entre des parties distinctes à partir de formes stabilisées de comparabilité : poids, mesures, monnaies de compte, objets calibrés, gages, marques de conformité, procédures de vérification. L’enjeu n’est pas d’accéder à une valeur intrinsèque préalablement donnée, mais de rendre socialement recevable une équivalence praticable entre parties distinctes. En ce sens, l’arcalité marchande repose sur la construction collective d’unités de valeur reconnues, toujours situées, toujours révisables, qui rendent possible un engagement réciproque sans exiger de foi commune ni de principe supérieur.</w:t>
      </w:r>
    </w:p>
    <w:p>
      <w:pPr>
        <w:pStyle w:val="BodyText"/>
        <w:rPr/>
      </w:pPr>
      <w:r>
        <w:rPr/>
        <w:t>C’est en ce point que le méta-régime marchand se distingue du méta-régime normativo-politique. Là où ce dernier règle le commun par l’énonciation publique de normes générales opposables, le régime marchand règle prioritairement la relation entre parties distinctes par la recevabilité négociée d’une équivalence, d’un prix, d’un gage ou d’un engagement. Garanties, arbitrages, vérifications et médiations peuvent exister dans les deux cas ; mais ils n’y valent pas pour la même raison. Dans le normativo-politique, ils visent la validité d’une règle commune. Dans le marchand, ils visent la reconnaissance praticable d’une équivalence contestable.</w:t>
      </w:r>
    </w:p>
    <w:p>
      <w:pPr>
        <w:pStyle w:val="BodyText"/>
        <w:rPr/>
      </w:pPr>
      <w:r>
        <w:rPr/>
        <w:t>Plusieurs configurations historiques permettent d’en saisir la logique. À Sumer, l’usage du shekel d’argent comme monnaie de compte et de l’orge comme référence d’équivalence permet d’adosser prêts, dettes et contrats à des formes stabilisées de calcul de l’engagement. Dans les cités africaines de l’or, les poids codifiés et les objets de mesure transmis au sein de réseaux marchands ne fonctionnent pas comme de simples outils techniques, mais comme médiateurs d’une reconnaissance mutuelle de la valeur. Dans les républiques marchandes méditerranéennes, enfin, balances publiques, tables de conversion, sceaux de certification et chambres des poids rendent l’équivalence visible, vérifiable et contestable. Dans tous ces cas, l’arcalité ne fixe pas un prix absolu : elle institue les conditions pratiques de sa reconnaissance.</w:t>
      </w:r>
    </w:p>
    <w:p>
      <w:pPr>
        <w:pStyle w:val="BodyText"/>
        <w:rPr/>
      </w:pPr>
      <w:r>
        <w:rPr/>
        <w:t>Cette logique n’implique nullement que le marchand soit indépendant de toute forme politique ou juridique. Elle signifie plus précisément que, dans ces configurations, les appuis normatifs et institutionnels ne valent pas d’abord comme fondement propre de l’obligation, mais comme conditions de sécurisation et de reprise d’une scène dont le principe de validité demeure l’équivalence recevable entre acteurs distincts. Le marchand peut donc s’adosser au politique sans s’y réduire.</w:t>
      </w:r>
    </w:p>
    <w:p>
      <w:pPr>
        <w:pStyle w:val="BodyText"/>
        <w:rPr/>
      </w:pPr>
      <w:r>
        <w:rPr/>
        <w:t>L’arcalité marchande ne se réduit donc ni à la mesure, ni à l’objet, ni au contrat. Elle réside dans la possibilité socialement admise de comparer sans détruire le lien, d’engager sans fusionner, d’échanger sans recourir à une vérité supérieure. Ce qui fonde ici l’ordre, ce n’est pas la chose elle-même, mais la forme reconnue sous laquelle elle peut valoir pour d’autres. Le marché, en ce sens, n’est pas seulement un lieu de circulation ; il est une scène de mise en forme de l’équivalence.</w:t>
      </w:r>
    </w:p>
    <w:p>
      <w:pPr>
        <w:pStyle w:val="BodyText"/>
        <w:rPr/>
      </w:pPr>
      <w:r>
        <w:rPr/>
        <w:t>Il faut insister ici sur un point décisif : l’équivalence marchande n’est jamais une donnée brute, mais une construction relationnelle. Elle ne suppose pas que les choses soient identiques, ni même comparables en elles-mêmes ; elle suppose qu’une société se soit donné les moyens de les rendre comparables sans abolir leur hétérogénéité. Le grain, le métal, le tissu, le sel, le bétail ou la dette ne valent pas parce qu’ils participeraient d’une substance commune, mais parce qu’ils peuvent être inscrits dans un espace de conversion reconnu. L’arcalité marchande ne produit donc pas une vérité de la valeur ; elle institue la possibilité pratique d’un accord sur ce qui pourra faire valeur pour d’autres, dans une scène déterminée.</w:t>
      </w:r>
    </w:p>
    <w:p>
      <w:pPr>
        <w:pStyle w:val="BodyText"/>
        <w:rPr/>
      </w:pPr>
      <w:r>
        <w:rPr/>
        <w:t>En cela, l’arcalité marchande se distingue avec netteté d’une ontologie spontanée de la valeur. Elle ne présuppose ni substance commune des choses, ni vérité cachée des prix, ni adéquation naturelle entre un bien et sa contrepartie. Ce qu’elle institue, c’est une surface de commensurabilité praticable, toujours relative à des usages, à des médiations et à des milieux d’échange déterminés. Autrement dit, la valeur marchande n’apparaît jamais comme un fondement absolu, mais comme une forme socialement tenue de comparabilité. Cette propriété est capitale : elle explique que le marché puisse réguler sans transcendance, non parce qu’il abolirait toute normativité, mais parce qu’il déplace celle-ci dans la reconnaissance pratique de ce qui peut, ici et maintenant, valoir pour d’autres.</w:t>
      </w:r>
    </w:p>
    <w:p>
      <w:pPr>
        <w:pStyle w:val="BodyText"/>
        <w:rPr/>
      </w:pPr>
      <w:r>
        <w:rPr/>
        <w:t>Si l’arcalité marchande repose sur la reconnaissance sociale de l’équivalence, sa cratialité réside dans les figures capables de garantir l’ajustement effectif des engagements. Le régime marchand ne fonctionne pas sans médiateurs : changeurs, courtiers, juges de foire, peseurs assermentés, inspecteurs de marché, syndics, intercesseurs ou garants. Leur autorité n’est ni souveraine, ni doctrinale, ni savante au sens strict ; elle est située, relationnelle et reconnue pour sa capacité à rendre l’échange praticable sans rupture du lien.</w:t>
      </w:r>
    </w:p>
    <w:p>
      <w:pPr>
        <w:pStyle w:val="BodyText"/>
        <w:rPr/>
      </w:pPr>
      <w:r>
        <w:rPr/>
        <w:t>Les foires de Champagne en offrent un exemple classique : les litiges y sont arbitrés rapidement par des juges marchands dont la légitimité tient moins à une délégation princière qu’à leur compétence reconnue à restaurer un équilibre acceptable entre les parties. De manière comparable, dans les villes musulmanes, le muḥtasib intervient sur les poids, les mesures, la qualité des biens et certains différends, non pour produire la loi, mais pour maintenir la justesse pratique des échanges. Dans plusieurs marchés ouest-africains, enfin, des courtiers ou médiateurs reconnus traduisent les usages, vérifient les équivalences et rendent possible l’accord entre acteurs différents. Dans tous ces cas, l’autorité est fonctionnelle au lien marchand lui-même : elle ne commande pas de l’extérieur, elle stabilise la scène.</w:t>
      </w:r>
    </w:p>
    <w:p>
      <w:pPr>
        <w:pStyle w:val="BodyText"/>
        <w:rPr/>
      </w:pPr>
      <w:r>
        <w:rPr/>
        <w:t>La cratialité marchande se distingue ainsi des autres régimes par sa nature intermédiaire. Elle ne parle pas au nom d’une transcendance ; elle ne démontre pas ; elle ne décrète pas ; elle ne vaut pas par simple inscription documentaire. Elle garantit, au cas par cas, la fiabilité d’une transaction et la recevabilité d’un engagement. Son pouvoir est borné, révocable, dépendant de la confiance qu’il inspire. Mais c’est précisément cette limitation qui en fait la force propre : dans le régime marchand, l’autorité ne produit pas la valeur, elle rend possible sa reconnaissance partagée.</w:t>
      </w:r>
    </w:p>
    <w:p>
      <w:pPr>
        <w:pStyle w:val="BodyText"/>
        <w:rPr/>
      </w:pPr>
      <w:r>
        <w:rPr/>
        <w:t>Cette propriété mérite d’être soulignée. La cratialité marchande n’est ni spectaculaire ni fondatrice au sens fort : elle opère dans l’intervalle, dans le réglage, dans la médiation. Elle ne vaut qu’aussi longtemps qu’elle inspire assez de confiance pour éviter que le différend ne se transforme en rupture. C’est pourquoi ses figures typiques ne sont presque jamais des souverains, mais des tiers : elles occupent une position d’entre-deux, suffisamment reconnue pour arbitrer, insuffisamment absolue pour s’imposer seules. Leur puissance est moins une puissance de décision finale qu’une puissance de rétablissement de la scène commune. Elles garantissent que l’échange demeure rejouable ; c’est en cela qu’elles participent pleinement de la co-viabilité.</w:t>
      </w:r>
    </w:p>
    <w:p>
      <w:pPr>
        <w:pStyle w:val="BodyText"/>
        <w:rPr/>
      </w:pPr>
      <w:r>
        <w:rPr/>
        <w:t>Il faut donc comprendre que la confiance, ici, n’est pas un supplément moral extérieur au régime : elle constitue l’un de ses opérateurs internes. Non pas une confiance vague, affective ou naïve, mais une confiance réglée, produite par la répétition d’épreuves réussies, par la fiabilité reconnue des tiers et par la stabilité relative des procédures de vérification. La cratialité marchande ne commande pas la croyance ; elle rend la défiance socialement traitable. C’est pourquoi elle demeure toujours exposée : dès lors qu’un médiateur n’est plus jugé capable de rétablir un accord acceptable, son autorité se dissipe, et avec elle une part de la capacité même du marché à faire tenir le lien.</w:t>
      </w:r>
    </w:p>
    <w:p>
      <w:pPr>
        <w:pStyle w:val="BodyText"/>
        <w:rPr/>
      </w:pPr>
      <w:r>
        <w:rPr/>
        <w:t>L’archicration marchande apparaît lorsque l’équivalence elle-même devient litigieuse et doit être rejouée dans une scène reconnue de vérification, de discussion ou d’arbitrage. Ce qui est alors mis à l’épreuve, ce n’est pas une vérité doctrinale ni l’application d’une loi générale, mais la recevabilité concrète d’un prix, d’une qualité, d’un poids, d’une dette ou d’une garantie. Le litige n’y constitue pas une anomalie extérieure au régime : il en est l’un des opérateurs centraux.</w:t>
      </w:r>
    </w:p>
    <w:p>
      <w:pPr>
        <w:pStyle w:val="BodyText"/>
        <w:rPr/>
      </w:pPr>
      <w:r>
        <w:rPr/>
        <w:t>C’est pourquoi les espaces marchands historiquement stabilisés se dotent presque toujours de procédures d’ajustement. Dans les foires médiévales, dans certains souks urbains ou dans des marchés africains régulés par des tiers reconnus, le désaccord sur la valeur n’entraîne pas mécaniquement la rupture ; il ouvre une scène de reprise. Témoignage, comparaison, repesée, expertise locale, recours à un médiateur, appel à un précédent ou à une réputation permettent de reformuler l’accord sans détruire le lien. L’archicration marchande est précisément cette capacité à transformer le différend en épreuve régulatrice.</w:t>
      </w:r>
    </w:p>
    <w:p>
      <w:pPr>
        <w:pStyle w:val="BodyText"/>
        <w:rPr/>
      </w:pPr>
      <w:r>
        <w:rPr/>
        <w:t>Sa singularité tient à ceci : la co-viabilité marchande ne procède pas de l’élimination du conflit, mais de sa mise en forme. Le marché ne vaut archicratiquement que là où la valeur peut être contestée sans que l’échange cesse d’être pensable. Ce n’est donc ni le contrat, ni le prix, ni la circulation qui fondent en propre le régime, mais la possibilité, toujours située, de rejouer l’équivalence à travers des formes socialement reconnues de médiation.</w:t>
      </w:r>
    </w:p>
    <w:p>
      <w:pPr>
        <w:pStyle w:val="BodyText"/>
        <w:rPr/>
      </w:pPr>
      <w:r>
        <w:rPr/>
        <w:t>En ce sens, l’archicration marchande se distingue profondément des régimes où le conflit porte d’abord sur la vérité, sur la légitimité politique ou sur la fidélité à une source. Ici, le différend ne vise ni à départager des doctrines, ni à trancher une souveraineté, ni à interpréter un texte fondateur. Il porte sur la justesse située d’un rapport d’équivalence. La scène marchande n’a donc pas pour horizon la clôture, mais l’ajustement. Elle ne cherche pas à faire taire la contestation, mais à la convertir en procédure de recalibrage du lien. C’est pourquoi elle constitue une forme archicratique spécifique : elle transforme la dispute sur la valeur en condition même de la continuité de l’échange.</w:t>
      </w:r>
    </w:p>
    <w:p>
      <w:pPr>
        <w:pStyle w:val="BodyText"/>
        <w:rPr/>
      </w:pPr>
      <w:r>
        <w:rPr/>
        <w:t>Il en résulte une conséquence théorique majeure : dans le régime marchand, la régulation ne vise pas d’abord l’unanimité, mais la reconduction du rapport. L’accord n’y est jamais une fusion des volontés ni la découverte d’une mesure parfaitement juste ; il est un équilibre suffisamment recevable pour que les parties puissent continuer à se reconnaître comme partenaires possibles. L’archicration marchande ne supprime donc pas l’incertitude, elle l’administre sans souveraineté absolue. Elle ne promet ni vérité finale ni clôture définitive, mais seulement la possibilité toujours relancée d’un ajustement praticable. C’est en cela qu’elle constitue une scène de co-viabilité particulièrement subtile : elle fait tenir ensemble des acteurs distincts à partir d’un différend qui n’est pas nié, mais converti en épreuve régulatrice.</w:t>
      </w:r>
    </w:p>
    <w:p>
      <w:pPr>
        <w:pStyle w:val="BodyText"/>
        <w:rPr/>
      </w:pPr>
      <w:r>
        <w:rPr/>
        <w:t>Comme tout méta-régime, l’archicration marchande connaît ses fragilités. Elle se désactive lorsque les formes d’équivalence cessent d’être crédibles, lorsque les médiateurs perdent leur autorité, lorsque la scène d’ajustement est absorbée par un autre régime, ou lorsque certains acteurs sont exclus du champ même de la reconnaissance.</w:t>
      </w:r>
    </w:p>
    <w:p>
      <w:pPr>
        <w:pStyle w:val="BodyText"/>
        <w:rPr/>
      </w:pPr>
      <w:r>
        <w:rPr/>
        <w:t>Trois dérives principales peuvent être distinguées. La première est la rupture de confiance : poids falsifiés, monnaies discréditées, garanties devenues inopérantes, disparition des tiers de confiance. Dans ce cas, l’échange ne parvient plus à rejouer l’équivalence. La deuxième est l’absorption politico-technique : la valeur n’est plus négociée, mais fixée par décret, par administration ou par calcul logistique, ce qui retire au marché sa scène propre d’épreuve. La troisième est la requalification théologique ou symbolique : certaines marchandises, certaines pratiques ou certaines formes de circulation cessent d’être discutables parce qu’elles deviennent d’abord jugées au regard d’une orthodoxie religieuse ou d’une aura de distinction.</w:t>
      </w:r>
    </w:p>
    <w:p>
      <w:pPr>
        <w:pStyle w:val="BodyText"/>
        <w:rPr/>
      </w:pPr>
      <w:r>
        <w:rPr/>
        <w:t>Il faut y ajouter une fragilité plus discrète mais décisive : l’exclusion de partenaires réputés non recevables. Dès lors que certains sujets ne peuvent plus comparaître comme acteurs légitimes du lien marchand, l’échange cesse d’être régulateur et tend vers la prédation ou la dépendance asymétrique. Le régime marchand ne s’effondre donc pas seulement par manque d’instruments ; il se défait aussi lorsque la reconnaissance cesse d’être distribuable.</w:t>
      </w:r>
    </w:p>
    <w:p>
      <w:pPr>
        <w:pStyle w:val="BodyText"/>
        <w:rPr/>
      </w:pPr>
      <w:r>
        <w:rPr/>
        <w:t>Cette dernière fragilité est décisive, car elle montre que le régime marchand n’est nullement synonyme d’ouverture illimitée. Il peut fonctionner avec une grande souplesse transactionnelle tout en restant socialement étroit, hiérarchisé et sélectif. Dès lors que la capacité à comparaître dans la scène d’échange est inégalement distribuée, la co-viabilité marchande se maintient peut-être pour certains, mais au prix d’une désactivation partielle pour d’autres. Le marché ne dissout donc pas spontanément les asymétries ; il peut au contraire les reproduire sous forme de recevabilité différentielle. Cette limite doit être conservée au centre de l’analyse, faute de quoi l’archicration marchande risquerait d’être idéalisée comme pure réciprocité, alors même qu’elle demeure historiquement traversée par des exclusions, des dépendances et des accès inégaux à la scène même de l’ajustement.</w:t>
      </w:r>
    </w:p>
    <w:p>
      <w:pPr>
        <w:pStyle w:val="BodyText"/>
        <w:rPr/>
      </w:pPr>
      <w:r>
        <w:rPr/>
        <w:t>Parvenue à son point de clôture, cette analyse permet d’affirmer l’existence d’un méta-régime marchand irréductible aux formes sacrales, normatives, épistémiques, techniciennes ou esthético-symboliques.</w:t>
      </w:r>
    </w:p>
    <w:p>
      <w:pPr>
        <w:pStyle w:val="BodyText"/>
        <w:rPr/>
      </w:pPr>
      <w:r>
        <w:rPr/>
        <w:t>Cette irréductibilité ne tient pas à une absence de toute médiation politique, juridique ou symbolique, mais au fait que la validité y procède en dernier ressort de la possibilité d’établir, de contester et de réajuster une équivalence entre engagements distincts. Ce n’est donc pas l’autonomie sociale absolue du marché qui fonde ici le méta-régime, mais l’autonomie spécifique de son opérateur de validité.</w:t>
      </w:r>
    </w:p>
    <w:p>
      <w:pPr>
        <w:pStyle w:val="BodyText"/>
        <w:rPr/>
      </w:pPr>
      <w:r>
        <w:rPr/>
        <w:t>Son architecture est nette : une arcalité fondée sur des unités d’équivalence socialement reconnues ; une cratialité exercée par des médiateurs capables de garantir la recevabilité pratique des engagements ; une archicration située dans les scènes où la valeur est contestée, rejouée et ajustée sans que leur validité première repose sur une autorité transcendante ou souveraine.</w:t>
      </w:r>
    </w:p>
    <w:p>
      <w:pPr>
        <w:pStyle w:val="BodyText"/>
        <w:rPr/>
      </w:pPr>
      <w:r>
        <w:rPr/>
        <w:t>Ce qui fait sa singularité profonde, c’est qu’il produit de la co-viabilité non par commandement, ni par révélation, ni par démonstration, mais par exposition réglée d’une valeur discutable. Le lien marchand ne tient que parce qu’il peut être repris, pesé, arbitré, reconnu à nouveau dans la scène même où il vacille. En ce sens, le marché n’est pas seulement un mode de circulation des biens ; il constitue, dans certaines configurations historiques, une grammaire autonome de régulation des engagements.</w:t>
      </w:r>
    </w:p>
    <w:p>
      <w:pPr>
        <w:pStyle w:val="BodyText"/>
        <w:rPr/>
      </w:pPr>
      <w:r>
        <w:rPr/>
        <w:t>Il montre ainsi qu’une société peut tenir non seulement par la loi, par la croyance, par la mémoire ou par le savoir, mais aussi par la capacité à instituer des scènes où l’accord demeure possible entre des acteurs qui ne partagent ni position, ni intérêt, ni statut identique. Le marché, sous cette forme archicratique, n’est pas simplement une mécanique de circulation ; il est une épreuve réglée de la coexistence entre étrangers relatifs. Il rend possible une forme spécifique de liaison sociale, fondée non sur la communion, mais sur la comparabilité négociée des engagements. En cela, il révèle une dimension essentielle de la co-viabilité : la possibilité de faire tenir ensemble des acteurs distincts sans exiger d’eux une adhésion commune à autre chose qu’à la scène même de l’ajustement.</w:t>
      </w:r>
    </w:p>
    <w:p>
      <w:pPr>
        <w:pStyle w:val="BodyText"/>
        <w:rPr/>
      </w:pPr>
      <w:r>
        <w:rPr/>
        <w:t>Sous ce rapport, le régime marchand fait apparaître une propriété essentielle de l’archicratie en général : un monde commun peut aussi se soutenir par des dispositifs qui n’exigent ni adhésion doctrinale, ni fusion symbolique, ni centralité souveraine, mais seulement la possibilité organisée de rendre des engagements mutuellement recevables. La scène marchande rappelle ainsi que la co-viabilité n’est pas toujours affaire de communion ; elle peut relever d’une compatibilité construite entre acteurs séparés, d’un art de faire tenir la distance elle-même. Il montre ainsi qu’un ordre peut émerger non de l’effacement des différences, mais de leur mise en relation réglée dans un espace d’équivalence contestable.</w:t>
      </w:r>
    </w:p>
    <w:p>
      <w:pPr>
        <w:pStyle w:val="BodyText"/>
        <w:rPr/>
      </w:pPr>
      <w:r>
        <w:rPr/>
        <w:t>Mais cette grammaire transactionnelle ne peut suffire à épuiser toutes les formes de mise à l’épreuve du lien social. Là où l’équivalence ne peut plus être reconnue, d’autres scènes s’ouvrent, dans lesquelles ce n’est plus la valeur qui se négocie, mais l’appartenance, l’alliance, la vulnérabilité et l’exposition des corps. C’est à cette autre forme de régulation, non marchande mais néanmoins archicratique, que sera consacrée la sous-section suivante : celle des archicrations guerrières.</w:t>
      </w:r>
    </w:p>
    <w:p>
      <w:pPr>
        <w:pStyle w:val="BodyText"/>
        <w:rPr/>
      </w:pPr>
      <w:r>
        <w:rPr/>
        <w:t>Le tableau de synthèse de ce méta-régime est présenté en annexe du présent chapitre.</w:t>
      </w:r>
    </w:p>
    <w:p>
      <w:pPr>
        <w:pStyle w:val="Heading3"/>
        <w:numPr>
          <w:ilvl w:val="2"/>
          <w:numId w:val="2"/>
        </w:numPr>
        <w:rPr/>
      </w:pPr>
      <w:r>
        <w:rPr/>
        <w:t xml:space="preserve">2.2.12 — </w:t>
      </w:r>
      <w:r>
        <w:rPr>
          <w:i/>
          <w:iCs/>
        </w:rPr>
        <w:t>Archicrations guerrières</w:t>
      </w:r>
    </w:p>
    <w:p>
      <w:pPr>
        <w:pStyle w:val="BodyText"/>
        <w:rPr/>
      </w:pPr>
      <w:r>
        <w:rPr/>
        <w:t>La guerre, dans l’économie archicratique des régimes de co-viabilité, ne peut être réduite ni à un pur fait de destruction, ni à une stratégie d’État, ni à une simple explosion de violence. Dans certaines configurations historiques, elle constitue au contraire une scène régulée d’épreuve, où l’exposition du corps, la bravoure reconnue, la loyauté manifestée et la mise en forme codifiée du conflit deviennent des opérateurs d’ordre. Nous désignons ici par archicration guerrière le méta-régime dans lequel l’affrontement, loin de suspendre toute régulation, devient lui-même principe de différenciation, de reconnaissance et de tenue du lien collectif dès lors que l’épreuve combattante y vaut comme opérateur propre de validation des places et des appartenances.</w:t>
      </w:r>
    </w:p>
    <w:p>
      <w:pPr>
        <w:pStyle w:val="BodyText"/>
        <w:rPr/>
      </w:pPr>
      <w:r>
        <w:rPr/>
        <w:t>Ce régime ne doit pas être confondu avec la guerre étatique moderne, bureaucratisée et centralisée, ni avec la violence de prédation sans règle. Il désigne une configuration plus ancienne et plus spécifique, dans laquelle le combat vaut comme épreuve socialement reconnue, capable de distribuer les statuts, de confirmer les appartenances, de régler certains différends et d’exposer publiquement les qualités requises pour tenir une place dans le collectif. L’ordre n’y procède pas en premier lieu d’une loi générale, d’une révélation ou d’une démonstration, mais d’une reconnaissance acquise dans et par l’épreuve.</w:t>
      </w:r>
    </w:p>
    <w:p>
      <w:pPr>
        <w:pStyle w:val="BodyText"/>
        <w:rPr/>
      </w:pPr>
      <w:r>
        <w:rPr/>
        <w:t>L’arcalité propre à ce régime repose ainsi sur une matrice de distinction fondée sur l’exposition réglée du corps au danger. Ce qui y fait fondement n’est ni la victoire brute, ni l’anéantissement de l’ennemi, mais la possibilité d’être reconnu comme ayant tenu l’épreuve selon des formes admises. Marques corporelles, armes personnelles, trophées, insignes, chants de gloire, noms d’honneur, récits de bataille et signes d’appartenance ne relèvent pas ici du simple décor : ils constituent les supports matériels et symboliques d’une reconnaissance statutaire indexée à la bravoure, à la loyauté et à l’endurance.</w:t>
      </w:r>
    </w:p>
    <w:p>
      <w:pPr>
        <w:pStyle w:val="BodyText"/>
        <w:rPr/>
      </w:pPr>
      <w:r>
        <w:rPr/>
        <w:t>Plusieurs configurations historiques permettent d’en saisir la logique. Dans la chevalerie médiévale, le blason, l’adoubement, l’épée ou la participation reconnue à la mêlée ne valent pas seulement comme signes nobiliaires : ils situent l’individu dans un ordre d’honneur où la reconnaissance dépend de l’épreuve affrontée. Dans la Grèce archaïque et hoplitique, l’aptitude à tenir sa place dans la phalange lie étroitement exposition combattante et appartenance civique. Dans d’autres contextes encore, qu’il s’agisse de sociétés lignagères africaines ou du Japon féodal, armes consacrées, marques corporelles, emblèmes de clan et récits de bravoure opèrent de manière comparable : ils identifient moins celui qui a simplement vaincu que celui qui a été jugé digne de porter, par son engagement, une part du lien collectif.</w:t>
      </w:r>
    </w:p>
    <w:p>
      <w:pPr>
        <w:pStyle w:val="BodyText"/>
        <w:rPr/>
      </w:pPr>
      <w:r>
        <w:rPr/>
        <w:t>L’arcalité guerrière ne doit donc pas être comprise comme une simple valorisation culturelle du combat. Elle constitue une forme spécifique de fondation pratique : non par prescription, non par récit, non par vérité révélée, mais par institution d’un ordre de reconnaissance dans lequel l’épreuve combattante devient principe de différenciation légitime. Ce qui compte n’est pas seulement l’existence de la violence, mais la manière dont celle-ci est rendue visible, lisible et socialement interprétable comme support de statut. En ce sens, la guerre n’est archicratique que lorsqu’elle cesse d’être chaos pour devenir scène réglée d’exposition, de validation et de reconnaissance.</w:t>
      </w:r>
    </w:p>
    <w:p>
      <w:pPr>
        <w:pStyle w:val="BodyText"/>
        <w:rPr/>
      </w:pPr>
      <w:r>
        <w:rPr/>
        <w:t>C’est en ce point que le méta-régime guerrier se distingue des autres formes de conflictualité codifiée. Il ne suffit pas qu’un affrontement soit réglé, limité ou symboliquement encadré pour qu’il devienne archicratiquement guerrier. Il faut encore que la validité de l’appartenance, du statut ou de l’autorité y procède en dernier ressort de la reconnaissance acquise dans l’épreuve elle-même. Là où d’autres régimes utilisent le conflit comme instrument secondaire d’une norme, d’un ordre sacral ou d’un appareil politique, le régime guerrier fait de l’épreuve combattante un opérateur propre de validité et de tenue du lien collectif.</w:t>
      </w:r>
    </w:p>
    <w:p>
      <w:pPr>
        <w:pStyle w:val="BodyText"/>
        <w:rPr/>
      </w:pPr>
      <w:r>
        <w:rPr/>
        <w:t>Le régime archicratique guerrier se distingue par une forme d’autorité irréductible aux modèles normatifs, théologiques ou bureaucratiques. La cratialité n’y procède ni d’un texte, ni d’une fonction, ni d’une délégation stable : elle s’éprouve dans et par l’engagement corporel au sein de la scène d’épreuve. L’autorité guerrière est ainsi fondamentalement agonistique. Elle ne se possède pas, elle se démontre ; elle ne se transmet pas comme un titre, elle se maintient par la capacité à être reconnue dans l’épreuve.</w:t>
      </w:r>
    </w:p>
    <w:p>
      <w:pPr>
        <w:pStyle w:val="BodyText"/>
        <w:rPr/>
      </w:pPr>
      <w:r>
        <w:rPr/>
        <w:t>Cette propriété permet de distinguer le guerrier non seulement du normativo-politique, mais aussi des formes sacrales ou étatiques qui peuvent encadrer la violence sans en faire le lieu premier de la reconnaissance. Lorsque le combat vaut d’abord comme exécution d’un ordre, accomplissement d’un devoir transcendant ou application d’une décision souveraine, l’affrontement peut demeurer violent et réglé sans constituer pour autant un méta-régime guerrier autonome. Celui-ci n’apparaît pleinement que lorsque l’exposition reconnue au risque demeure le principe principal de validation des positions et des appartenances.</w:t>
      </w:r>
    </w:p>
    <w:p>
      <w:pPr>
        <w:pStyle w:val="BodyText"/>
        <w:rPr/>
      </w:pPr>
      <w:r>
        <w:rPr/>
        <w:t>Les figures qui incarnent cette cratialité — chefs de guerre, capitaines, champions, anciens combattants reconnus — ne tirent leur légitimité ni d’un mandat abstrait, ni d’un savoir spécialisé, mais de la reconnaissance collective de leur capacité à exposer leur corps, à tenir leur place dans le combat et à assumer la responsabilité du conflit. Leur autorité est conditionnelle : elle vaut tant qu’elle peut être réactivée, confirmée ou, du moins, reconnue comme effectivement éprouvée.</w:t>
      </w:r>
    </w:p>
    <w:p>
      <w:pPr>
        <w:pStyle w:val="BodyText"/>
        <w:rPr/>
      </w:pPr>
      <w:r>
        <w:rPr/>
        <w:t>Dans diverses configurations historiques, cette logique se retrouve sous des formes différenciées mais convergentes. Dans les mondes hoplitiques, la capacité à commander est indexée à la participation effective à la ligne de combat ; dans les univers chevaleresques, l’autorité procède de la bravoure reconnue et de la fidélité éprouvée dans l’affrontement ; dans d’autres contextes lignagers ou segmentaires, les titres guerriers sont liés à des performances attestées, susceptibles d’être contestées ou retirées. Dans tous ces cas, l’autorité ne précède pas l’épreuve : elle en résulte.</w:t>
      </w:r>
    </w:p>
    <w:p>
      <w:pPr>
        <w:pStyle w:val="BodyText"/>
        <w:rPr/>
      </w:pPr>
      <w:r>
        <w:rPr/>
        <w:t>Cette cratialité présente ainsi une propriété décisive : elle est à la fois intense et précaire. Intense, parce qu’elle engage directement la vie, le courage et la capacité à porter le lien collectif dans des situations limites ; précaire, parce qu’elle peut être remise en cause dès lors que l’épreuve n’est plus assumée, reconnue ou jugée conforme. Le chef qui refuse le combat, qui échoue à tenir son rang ou qui trahit les règles implicites de l’affrontement peut perdre sa légitimité sans qu’aucune procédure formelle ne soit nécessaire.</w:t>
      </w:r>
    </w:p>
    <w:p>
      <w:pPr>
        <w:pStyle w:val="BodyText"/>
        <w:rPr/>
      </w:pPr>
      <w:r>
        <w:rPr/>
        <w:t>Il faut enfin souligner que cette autorité ne se confond pas avec la simple domination violente. Elle suppose au contraire une reconnaissance partagée des formes légitimes de l’épreuve : respect de certaines limites, identification des adversaires, lisibilité des engagements. La cratialité guerrière ne consiste pas à imposer la force, mais à rendre la force reconnaissable comme légitime dans un cadre donné. C’est cette reconnaissance — toujours fragile, toujours exposée — qui permet à la violence de ne pas basculer dans la pure prédation, mais de demeurer, au moins partiellement, intégrée à un ordre de co-viabilité.</w:t>
      </w:r>
    </w:p>
    <w:p>
      <w:pPr>
        <w:pStyle w:val="BodyText"/>
        <w:rPr/>
      </w:pPr>
      <w:r>
        <w:rPr/>
        <w:t>La spécificité du méta-régime guerrier se révèle pleinement dans sa forme d’archicration, c’est-à-dire dans la manière dont le différend est exposé, traversé et reconnu à travers une épreuve corporelle réglée. Ici, la régulation ne procède ni d’une norme abstraite, ni d’une autorité doctrinale, ni d’une délibération : elle advient dans la scène même de l’affrontement, dès lors que celui-ci est reconnu comme cadre légitime de mise à l’épreuve.</w:t>
      </w:r>
    </w:p>
    <w:p>
      <w:pPr>
        <w:pStyle w:val="BodyText"/>
        <w:rPr/>
      </w:pPr>
      <w:r>
        <w:rPr/>
        <w:t>L’archicration guerrière ne consiste donc pas à supprimer le conflit, mais à lui donner une forme telle qu’il puisse produire de la reconnaissance. Le différend n’est pas évacué : il est assumé, concentré et rendu visible dans une configuration codifiée où les acteurs engagent leur corps, leur statut et leur parole. Ce qui est alors en jeu n’est pas la vérité d’une position, mais la validité d’une présence dans l’épreuve.</w:t>
      </w:r>
    </w:p>
    <w:p>
      <w:pPr>
        <w:pStyle w:val="BodyText"/>
        <w:rPr/>
      </w:pPr>
      <w:r>
        <w:rPr/>
        <w:t>Dans diverses configurations historiques, cette logique se manifeste sous des formes convergentes : duel réglé, affrontement ritualisé, combat encadré par des règles partagées. Dans tous les cas, l’épreuve n’est légitime que si elle respecte une grammaire reconnue : identification des adversaires, limitation des armes ou des gestes, présence de témoins ou de tiers, possibilité d’une issue reconnue comme décisive. Ce n’est pas la violence brute qui tranche, mais la conformité de l’affrontement à une forme admissible.</w:t>
      </w:r>
    </w:p>
    <w:p>
      <w:pPr>
        <w:pStyle w:val="BodyText"/>
        <w:rPr/>
      </w:pPr>
      <w:r>
        <w:rPr/>
        <w:t>La scène d’archicration guerrière possède ainsi une propriété fondamentale : elle transforme l’incertitude du conflit en opérateur de régulation. L’issue est incertaine, mais cette incertitude elle-même est intégrée dans la structure du lien. Le combat ne garantit pas la justice au sens normatif, mais il produit une décision recevable parce qu’elle a été exposée, partagée et reconnue dans une épreuve commune.</w:t>
      </w:r>
    </w:p>
    <w:p>
      <w:pPr>
        <w:pStyle w:val="BodyText"/>
        <w:rPr/>
      </w:pPr>
      <w:r>
        <w:rPr/>
        <w:t>Il en résulte une configuration singulière de la co-viabilité. Celle-ci ne repose pas sur l’élimination de la violence, mais sur sa mise en forme. L’adversaire n’est pas simplement un ennemi à détruire : il est un partenaire d’épreuve sans lequel aucune reconnaissance ne serait possible. Le lien social ne se maintient pas malgré le conflit, mais à travers lui, dès lors que celui-ci demeure encadré par des formes qui en rendent l’issue intelligible et acceptable.</w:t>
      </w:r>
    </w:p>
    <w:p>
      <w:pPr>
        <w:pStyle w:val="BodyText"/>
        <w:rPr/>
      </w:pPr>
      <w:r>
        <w:rPr/>
        <w:t>L’archicration guerrière se définit ainsi comme une scène où le corps fait preuve, où l’épreuve tranche, et où la reconnaissance résulte de l’exposition partagée au risque. Elle ne décide pas par argument, elle ne valide pas par conformité, elle ne garantit pas par autorité externe : elle fait apparaître, dans l’intensité même de l’affrontement, ce qui peut être tenu pour valable dans l’ordre du lien.</w:t>
      </w:r>
    </w:p>
    <w:p>
      <w:pPr>
        <w:pStyle w:val="BodyText"/>
        <w:rPr/>
      </w:pPr>
      <w:r>
        <w:rPr/>
        <w:t>Le méta-régime guerrier, ainsi compris, ne vise pas d’abord la destruction, mais la structuration du lien dans et par la conflictualité assumée. Là où d’autres régimes tentent de pacifier le désaccord (en l’effaçant, en le fixant, en le codifiant), l’</w:t>
      </w:r>
      <w:r>
        <w:rPr>
          <w:i/>
          <w:iCs/>
        </w:rPr>
        <w:t>archicration guerrière</w:t>
      </w:r>
      <w:r>
        <w:rPr/>
        <w:t xml:space="preserve"> l’expose comme moment fondateur du lien, à condition que cette exposition soit encadrée, ritualisée, située dans une scène reconnue. Sans règle, il y a violence. Mais la règle, à elle seule, ne suffit pas à faire du conflit un opérateur de reconnaissance : il faut encore que l’épreuve demeure visible, risquée, codifiée et socialement lisible comme scène où se jouent effectivement le statut, l’honneur, l’autorité ou l’appartenance. C’est à cette condition que le conflit peut devenir opérateur de reconnaissance.</w:t>
      </w:r>
    </w:p>
    <w:p>
      <w:pPr>
        <w:pStyle w:val="BodyText"/>
        <w:rPr/>
      </w:pPr>
      <w:r>
        <w:rPr/>
        <w:t>Comme tout méta-régime, l’archicration guerrière connaît ses fragilités. Elle se désactive lorsque l’épreuve cesse d’être une scène reconnue de régulation pour devenir soit destruction sans forme, soit simple instrument d’un autre ordre. Le régime guerrier ne tient en effet qu’à une condition stricte : que le conflit demeure codifié, visible, limité et socialement lisible comme épreuve de reconnaissance.</w:t>
      </w:r>
    </w:p>
    <w:p>
      <w:pPr>
        <w:pStyle w:val="BodyText"/>
        <w:rPr/>
      </w:pPr>
      <w:r>
        <w:rPr/>
        <w:t>Cette exigence de codification ne doit toutefois pas être confondue avec les formes modernes de juridicisation de la guerre, telles que les conventions encadrant les conflits armés ou le droit international humanitaire. Ces dernières relèvent principalement d’une logique normativo-politique : elles visent à limiter la violence par l’énonciation de règles générales opposables, indépendamment de la reconnaissance acquise dans l’épreuve elle-même. À l’inverse, les codes proprement guerriers — qu’ils prennent la forme de disciplines martiales, de règles d’honneur ou de conventions d’engagement — n’ont de portée archicratique que lorsqu’ils structurent une scène dans laquelle l’exposition au risque vaut comme fondement de statut, d’autorité et d’appartenance. La simple existence de règles de guerre ne suffit donc pas à constituer un méta-régime guerrier ; encore faut-il que ces règles organisent effectivement une épreuve reconnue comme décisive.</w:t>
      </w:r>
    </w:p>
    <w:p>
      <w:pPr>
        <w:pStyle w:val="BodyText"/>
        <w:rPr/>
      </w:pPr>
      <w:r>
        <w:rPr/>
        <w:t>Si l’un de ces termes manque, la conflictualité peut subsister, parfois même avec une grande intensité, sans pour autant produire la reconnaissance qui définit ce méta-régime. Une violence réglée n’est donc pas encore, en elle-même, une archicration guerrière ; elle ne le devient que lorsqu’elle vaut comme scène décisive de validation des places, des qualités et des appartenances.</w:t>
      </w:r>
    </w:p>
    <w:p>
      <w:pPr>
        <w:pStyle w:val="BodyText"/>
        <w:rPr/>
      </w:pPr>
      <w:r>
        <w:rPr/>
        <w:t>Plusieurs dérives principales peuvent alors être distinguées. La première est la sacralisation du combat. Dès lors que l’affrontement cesse d’opposer des adversaires reconnus dans une scène réglée pour devenir mission transcendante, purification ou guerre sainte, l’ennemi n’est plus un pair d’épreuve mais une figure à éliminer. La guerre quitte alors le registre agonistique pour entrer dans un autre régime de légitimation.</w:t>
      </w:r>
    </w:p>
    <w:p>
      <w:pPr>
        <w:pStyle w:val="BodyText"/>
        <w:rPr/>
      </w:pPr>
      <w:r>
        <w:rPr/>
        <w:t>La deuxième dérive est la bureaucratisation ou l’étatisation du commandement. Lorsque l’autorité militaire ne procède plus de l’épreuve reconnue, mais du grade, de l’office, de la nomination ou de l’appareil de commandement, la cratialité guerrière se défait. Le chef n’est plus celui qui s’expose et se fait reconnaître dans l’épreuve, mais celui qui occupe une fonction. L’ordre du combat devient alors administration de la violence plutôt que scène de reconnaissance.</w:t>
      </w:r>
    </w:p>
    <w:p>
      <w:pPr>
        <w:pStyle w:val="BodyText"/>
        <w:rPr/>
      </w:pPr>
      <w:r>
        <w:rPr/>
        <w:t>La troisième dérive est la professionnalisation mercenaire. Lorsque le combattant n’est plus engagé comme porteur d’un statut, d’une appartenance ou d’un honneur, mais comme prestataire de force, l’épreuve perd sa fonction régulatrice. Le conflit subsiste, parfois même s’intensifie, mais il ne produit plus de co-viabilité : il devient service, prédation ou simple instrument.</w:t>
      </w:r>
    </w:p>
    <w:p>
      <w:pPr>
        <w:pStyle w:val="BodyText"/>
        <w:rPr/>
      </w:pPr>
      <w:r>
        <w:rPr/>
        <w:t>Une quatrième dérive tient à la spectacularisation du combat. Dès lors que l’épreuve demeure visible mais n’est plus réellement risquée ni décisive, elle se déplace vers la représentation. Tournois vidés de leur enjeu, bravoure stylisée, gestes héroïques devenus pur cérémonial : l’archicration guerrière s’esthétise et perd sa puissance de validation. Ce n’est plus l’épreuve qui fonde la reconnaissance, mais son image.</w:t>
      </w:r>
    </w:p>
    <w:p>
      <w:pPr>
        <w:pStyle w:val="BodyText"/>
        <w:rPr/>
      </w:pPr>
      <w:r>
        <w:rPr/>
        <w:t>Ces dérives n’abolissent pas nécessairement toute conflictualité, mais elles retirent au régime guerrier sa spécificité archicratique. Pour que celui-ci demeure effectif, il faut que l’épreuve reste codifiée sans être neutralisée, risquée sans être anarchique, reconnue sans être absorbée par un ordre supérieur. Lorsque l’un de ces termes se défait, la guerre subsiste peut-être, mais elle cesse d’opérer comme scène de co-viabilité.</w:t>
      </w:r>
    </w:p>
    <w:p>
      <w:pPr>
        <w:pStyle w:val="BodyText"/>
        <w:rPr/>
      </w:pPr>
      <w:r>
        <w:rPr/>
        <w:t>L’archicration guerrière repose sur une scène d’épreuve où l’honneur est visible, le courage attestable, la gloire atteignable et l’autorité réversible. C’est ce régime que nous avons voulu restituer ici — non pour en faire l’apologie, mais pour en révéler la logique propre, sa structure spécifique et sa place irréductible dans la grammaire générale des formes de pouvoir régulateur. Un tableau de synthèse de ce méta-régime est présenté en annexe du présent chapitre.</w:t>
      </w:r>
    </w:p>
    <w:p>
      <w:pPr>
        <w:pStyle w:val="BodyText"/>
        <w:rPr/>
      </w:pPr>
      <w:r>
        <w:rPr/>
        <w:t>La co-viabilité par combat ne signifie pas que toute société doive s’y soumettre : elle signifie seulement que certaines sociétés ont institué le conflit comme mode d’appartenance, non comme exception, et qu’elles ont su, parfois, en faire un opérateur d’ordre — à condition d’en maîtriser la scène, le code et le geste.</w:t>
      </w:r>
    </w:p>
    <w:p>
      <w:pPr>
        <w:pStyle w:val="Heading3"/>
        <w:numPr>
          <w:ilvl w:val="2"/>
          <w:numId w:val="2"/>
        </w:numPr>
        <w:rPr/>
      </w:pPr>
      <w:r>
        <w:rPr/>
        <w:t xml:space="preserve">2.2.13 — </w:t>
      </w:r>
      <w:r>
        <w:rPr>
          <w:i/>
          <w:iCs/>
        </w:rPr>
        <w:t>Archicrations différentielles</w:t>
      </w:r>
      <w:r>
        <w:rPr/>
        <w:t xml:space="preserve"> et formes hybrides</w:t>
      </w:r>
    </w:p>
    <w:p>
      <w:pPr>
        <w:pStyle w:val="BodyText"/>
        <w:rPr/>
      </w:pPr>
      <w:r>
        <w:rPr/>
        <w:t>Arrivés au terme de notre archéotypologie des méta-régimes, une précaution méthodologique s’impose. Les douze régimes précédemment reconstruits ne doivent pas être compris comme des formes chimiquement pures, toujours isolables dans l’expérience historique, ni comme des unités closes se déployant chacune dans l’autosuffisance de leur cohérence propre. Ils constituent des pôles d’intelligibilité indispensables ; mais les configurations concrètes de co-viabilité se présentent rarement sous la forme d’un seul régime intégralement stabilisé.</w:t>
      </w:r>
    </w:p>
    <w:p>
      <w:pPr>
        <w:pStyle w:val="BodyText"/>
        <w:rPr/>
      </w:pPr>
      <w:r>
        <w:rPr/>
        <w:t>Il faut donc reconnaître, à côté des méta-régimes archicratiques proprement dits, l’existence de formes composites qui ne relèvent ni d’un treizième régime pur, ni d’une simple anomalie empirique. Certaines sont différentielles : un même régime y opère de manière discontinue, alternée, inhibée, saisonnière ou stratifiée. D’autres sont hybrides : plusieurs régimes y sont articulés dans une même configuration historique, sans fusion synthétique complète. Ces formes n’abolissent pas la typologie ; elles en manifestent au contraire la plasticité concrète.</w:t>
      </w:r>
    </w:p>
    <w:p>
      <w:pPr>
        <w:pStyle w:val="BodyText"/>
        <w:rPr/>
      </w:pPr>
      <w:r>
        <w:rPr/>
        <w:t>La présente sous-section a donc une fonction précise. Elle n’ajoute pas un nouveau méta-régime à la série ; elle examine les modes selon lesquels les régimes déjà dégagés se modulent, se combinent, se parasitent ou se relaient dans les sociétés effectives. Il ne s’agira pas ici de brouiller les distinctions établies, mais de montrer comment la co-viabilité historique se forme souvent dans l’entre-deux des régimes purs : par alternance, par inhibition, par tressage, par composition instable.</w:t>
      </w:r>
    </w:p>
    <w:p>
      <w:pPr>
        <w:pStyle w:val="BodyText"/>
        <w:rPr/>
      </w:pPr>
      <w:r>
        <w:rPr/>
        <w:t>Nous distinguerons ainsi deux grandes familles de cas. Les formes différentielles désignent les situations où la régulation procède d’une modulation interne d’un régime donné : intériorisation, intermittence, suspension, variation cyclique ou passage générationnel. Les formes hybrides désignent les configurations où plusieurs logiques archicratiques se trouvent effectivement entrelacées dans une même scène sociale : coercition et capital, transmission et discipline, jeu et norme, domesticité et hiérarchie, écologie rituelle et symbolisation collective. Dans les deux cas, l’enjeu reste identique : comprendre comment l’archicration se déploie lorsqu’elle ne se présente plus sous la figure d’un régime simple, mais sous celle d’un montage partiel, mobile ou stratifié.</w:t>
      </w:r>
    </w:p>
    <w:p>
      <w:pPr>
        <w:pStyle w:val="BodyText"/>
        <w:rPr/>
      </w:pPr>
      <w:r>
        <w:rPr/>
        <w:t>Cette dernière sous-section de 2.2 doit donc être lue comme une zone de flexion de la typologie, non comme son abandon. Elle marque le passage entre la reconstruction des formes fondamentales de régulation et leur reprise dans des compositions historiques plus complexes. Un tableau de synthèse de ces formes différentielles et hybrides est présenté en annexe.</w:t>
      </w:r>
    </w:p>
    <w:p>
      <w:pPr>
        <w:pStyle w:val="BodyText"/>
        <w:rPr/>
      </w:pPr>
      <w:r>
        <w:rPr/>
        <w:t>Les formes différentielles apparaissent précisément dans les configurations où la régulation archicratique ne se donne pas sur le mode de la clarté, de l’univocité ou de la symétrie. Elle y procède par modulation, inhibition, alternance ou passage, sans cesser pour autant d’être structurante. Il ne s’agit donc pas de nouveaux méta-régimes, mais de manières particulières d’activer un régime donné selon une temporalité discontinue, une intensité variable ou une distribution non uniforme de ses trois vecteurs.</w:t>
      </w:r>
    </w:p>
    <w:p>
      <w:pPr>
        <w:pStyle w:val="BodyText"/>
        <w:rPr/>
      </w:pPr>
      <w:r>
        <w:rPr/>
        <w:t>Une première figure de cette différenciation est celle de l’intériorisation. Avec Elias, mais aussi, à d’autres niveaux, avec Mauss ou Freud, on voit apparaître des configurations dans lesquelles la régulation ne passe plus d’abord par une scène extérieure fortement marquée, mais par l’incorporation progressive de contraintes devenues presque spontanées. Postures, retenues, rythmes de parole, manières de table, contrôle des affects ou des pulsions : tout un ordre social peut tenir par des schèmes intériorisés qui rendent la contrainte moins visible sans la dissoudre. L’arcalité y devient comportementale ; la cratialité se fait discrète, parfois inhibée ; l’archicration s’exerce dans le travail diffus par lequel un sujet apprend à se gouverner selon des attentes reçues. Nous ne sommes plus ici dans l’éclat d’un code affiché, mais dans une régulation par stylisation incorporée du possible.</w:t>
      </w:r>
    </w:p>
    <w:p>
      <w:pPr>
        <w:pStyle w:val="BodyText"/>
        <w:rPr/>
      </w:pPr>
      <w:r>
        <w:rPr/>
        <w:t>Une deuxième figure est celle de l’alternance cyclique. Certaines sociétés n’activent pas uniformément un même principe régulateur, mais l’adossent à des saisons, à des séquences rituelles, à des conjonctures de rareté ou d’abondance, à des moments de guerre, de fête ou de dispersion. Graeber et Sahlins ont bien montré que des formes de commandement pouvaient être actives dans certaines phases puis neutralisées dans d’autres, sans que cette intermittence traduise une faiblesse institutionnelle. Au contraire, la régulation tient précisément à cette capacité de varier sans se dissoudre. L’arcalité n’y est pas fixe : elle se réancre dans des moments, des lieux et des occasions. La cratialité s’active puis se retire. L’archicration passe alors par la reconnaissance partagée de ces seuils de bascule, de ces temps où l’ordre change de régime sans cesser d’être intelligible.</w:t>
      </w:r>
    </w:p>
    <w:p>
      <w:pPr>
        <w:pStyle w:val="BodyText"/>
        <w:rPr/>
      </w:pPr>
      <w:r>
        <w:rPr/>
        <w:t>Une troisième figure est celle de l’inhibition volontaire du pouvoir. Clastres en a fourni l’analyse la plus tranchée : certaines sociétés ne sont pas dépourvues de régulation ; elles organisent activement l’empêchement d’une cristallisation durable de la domination. Le chef y parle sans commander, représente sans accumuler, centralise sans pouvoir convertir cette centralité en souveraineté durable. L’intérêt d’une telle configuration, du point de vue archicratique, est décisif : elle montre qu’un ordre peut se maintenir non seulement par activation positive d’une autorité, mais aussi par mise en échec systématique de son épaississement. L’arcalité y est diffuse, souvent rituelle ou coutumière ; la cratialité est tenue à distance ; l’archicration réside dans les procédures sociales qui empêchent qu’un pouvoir d’abord fonctionnel devienne structurellement captateur.</w:t>
      </w:r>
    </w:p>
    <w:p>
      <w:pPr>
        <w:pStyle w:val="BodyText"/>
        <w:rPr/>
      </w:pPr>
      <w:r>
        <w:rPr/>
        <w:t>Une quatrième figure est celle du passage initiatique ou générationnel. Avec Van Gennep ou Rouget, on voit se dessiner des régulations qui ne reposent ni sur la permanence d’une règle générale, ni sur l’alternance cyclique d’une autorité, mais sur le franchissement de seuils reconnus : âge, statut, sexe rituel, capacité nouvelle, entrée dans une classe, sortie d’une autre. Ici, la co-viabilité est produite par le passage réglé d’un état à un autre. L’arcalité réside dans le dispositif de seuil lui-même ; la cratialité appartient à ceux qui gardent, conduisent ou valident l’épreuve ; l’archicration s’accomplit dans la dramaturgie du franchissement, lorsque l’appartenance est réinstituée par transformation reconnue. Le régime n’est pas agonistique comme le guerrier, ni normatif comme le politico-juridique : il est transitionnel.</w:t>
      </w:r>
    </w:p>
    <w:p>
      <w:pPr>
        <w:pStyle w:val="BodyText"/>
        <w:rPr/>
      </w:pPr>
      <w:r>
        <w:rPr/>
        <w:t>Ces différentes figures ont un trait commun : elles montrent que la régulation n’exige pas toujours un centre durable, un code explicite ou une scène constamment active. Elle peut tenir par intériorisation des contraintes, par intermittence des formes d’autorité, par inhibition de leur fixation ou par passage d’un seuil à un autre. Dans tous ces cas, les vecteurs archicratiques ne disparaissent pas ; ils se redistribuent. L’arcalité devient parfois diffuse, la cratialité s’atténue ou se retire, l’archicration se concentre dans des moments rares mais décisifs.</w:t>
      </w:r>
    </w:p>
    <w:p>
      <w:pPr>
        <w:pStyle w:val="BodyText"/>
        <w:rPr/>
      </w:pPr>
      <w:r>
        <w:rPr/>
        <w:t>Les formes différentielles ne doivent donc pas être traitées comme des cas mineurs. Elles révèlent au contraire une propriété essentielle de l’archicratie : sa capacité à se moduler sans s’abolir. Elles montrent que la co-viabilité ne dépend pas toujours d’un ordre continûment visible ; elle peut aussi procéder de respirations, de retenues, de reprises, d’alternances et de seuils. Ce sont là des formes souples, parfois discrètes, mais pleinement structurantes de la vie collective.</w:t>
      </w:r>
    </w:p>
    <w:p>
      <w:pPr>
        <w:pStyle w:val="BodyText"/>
        <w:rPr/>
      </w:pPr>
      <w:r>
        <w:rPr/>
        <w:t>À côté de ces modulations internes d’un régime donné, il faut maintenant considérer les configurations où plusieurs logiques archicratiques s’entrelacent dans une même scène sociale. Nous entrons alors dans le domaine des formes hybrides proprement dites : non plus des variations internes d’un seul régime, mais des montages où plusieurs principes de régulation coexistent, se soutiennent, se corrigent ou se contrarient sans se fondre dans une synthèse stable.</w:t>
      </w:r>
    </w:p>
    <w:p>
      <w:pPr>
        <w:pStyle w:val="BodyText"/>
        <w:rPr/>
      </w:pPr>
      <w:r>
        <w:rPr/>
        <w:t>L’hybridité archicratique ne doit pas être comprise comme un défaut d’analyse ni comme une impureté secondaire. Elle constitue l’un des modes ordinaires de la régulation historique. Dans les sociétés effectives, il est rare qu’une scène de co-viabilité soit portée par un seul vecteur dominant, parfaitement isolable. Le plus souvent, une normativité juridique s’adosse à des supports symboliques, une logique économique se trouve enveloppée par des médiations politiques, une discipline éducative emprunte à la fois à l’écrit, au rite, à l’affect et à l’évaluation. L’intérêt des formes hybrides est précisément de montrer comment plusieurs régimes peuvent être co-présents sans cesser d’être distincts en droit.</w:t>
      </w:r>
    </w:p>
    <w:p>
      <w:pPr>
        <w:pStyle w:val="BodyText"/>
        <w:rPr/>
      </w:pPr>
      <w:r>
        <w:rPr/>
        <w:t>Une première famille de cas est celle des montages coercitivo-capitalistes, dont Tilly a donné une formulation classique. Dans ces configurations, la co-viabilité ne procède ni de la seule coercition, ni de la seule circulation marchande, ni de la seule normativité politique. Elle tient à leur articulation pragmatique : extraction de ressources, protection armée, reconnaissance contractuelle, capacité administrative, négociation locale. L’arcalité s’y distribue entre ressources, territoires, dettes, fidélités et infrastructures ; la cratialité oscille entre contrainte armée, prélèvement et arbitrage ; l’archicration se joue dans des scènes d’ajustement entre exigence de force et nécessité de rendre la domination socialement praticable. De tels montages ne constituent pas un treizième régime pur : ils combinent, sous tension, les ressources du guerrier, du marchand, du normativo-politique et parfois du techno-logistique.</w:t>
      </w:r>
    </w:p>
    <w:p>
      <w:pPr>
        <w:pStyle w:val="BodyText"/>
        <w:rPr/>
      </w:pPr>
      <w:r>
        <w:rPr/>
        <w:t>Une deuxième famille de cas est celle des formes éducatives et disciplinaires. Ici, l’hybridité apparaît clairement : textes, programmes, figures magistrales, procédures d’évaluation, rites d’entrée, hiérarchies silencieuses et stylisations comportementales y coopèrent. École, séminaire ou institution de formation ne relèvent jamais d’un seul régime. Ils croisent généralement le scripturo-normatif par leurs supports, l’épistémique par la validation des savoirs, l’esthético-symbolique par les formes de présentation de soi, et parfois le normativo-politique lorsqu’ils prétendent former des sujets civiques. L’arcalité y est donc composite ; la cratialité passe à la fois par la fonction, par le savoir et par la discipline ; l’archicration se loge dans l’épreuve évaluative, dans la correction, dans la sélection, dans la transformation progressive d’un individu en sujet recevable pour un ordre donné.</w:t>
      </w:r>
    </w:p>
    <w:p>
      <w:pPr>
        <w:pStyle w:val="BodyText"/>
        <w:rPr/>
      </w:pPr>
      <w:r>
        <w:rPr/>
        <w:t>Une troisième famille est celle des formes ludiques, cérémonielles ou quasi-ludiques. Huizinga et Caillois ont montré que le jeu ne constitue pas un dehors du social, mais l’un de ses laboratoires. Or ce qui importe ici, c’est moins le jeu comme activité séparée que sa capacité à articuler plusieurs logiques régulatrices : convention, compétition, mimésis, hiérarchie, rite, style, suspension temporaire de la norme ordinaire. Dans ces configurations, l’arcalité peut être purement conventionnelle tout en étant fortement tenue ; la cratialité peut être feinte sans être insignifiante ; l’archicration peut se déployer dans l’arbitrage, dans l’épreuve compétitive ou dans l’acceptation commune de règles provisoires. Ces formes sont hybrides parce qu’elles font coopérer, dans un même espace, des dimensions agonistiques, symboliques, narratives et disciplinaires sans les réduire les unes aux autres.</w:t>
      </w:r>
    </w:p>
    <w:p>
      <w:pPr>
        <w:pStyle w:val="BodyText"/>
        <w:rPr/>
      </w:pPr>
      <w:r>
        <w:rPr/>
        <w:t>Une quatrième famille, plus discrète mais décisive, est celle des régulations domestiques, familiales ou salariées. Ici, l’hybridité vient de ce que l’ordre se soutient à la fois par des statuts, des affects, des mémoires, des récits, des évaluations et des dépendances matérielles. Une maison, une parenté, un univers de travail ne tiennent jamais par un seul principe. Ils combinent souvent du narratif, du normatif, du positionnel, de l’économique et du symbolique. L’arcalité peut être logée dans un lieu, dans une fonction, dans une ancienneté, dans un héritage ou dans une promesse d’avenir ; la cratialité se distribue entre autorité quotidienne, contrôle discret, capacité d’évaluation ou pouvoir de sanction ; l’archicration s’exerce dans d’innombrables scènes mineures de rappel, de réajustement, de répartition, d’exclusion partielle ou de reconnaissance différentielle. Ce sont des formes profondément hybrides parce que leur efficacité dépend précisément de cette superposition de registres.</w:t>
      </w:r>
    </w:p>
    <w:p>
      <w:pPr>
        <w:pStyle w:val="BodyText"/>
        <w:rPr/>
      </w:pPr>
      <w:r>
        <w:rPr/>
        <w:t>Une dernière grande famille est celle des configurations éco-symboliques ou relationnelles, où la régulation articule des rapports entre humains, non-humains, lieux, cycles et interdits. Les travaux de Descola, Viveiros de Castro ou Ingold montrent que l’ordre n’y procède pas d’une stricte séparation entre nature, société et cosmologie. D’un point de vue archicratique, l’intérêt de ces formes tient à ce qu’elles composent souvent des éléments que notre typologie a distingués ailleurs : du sacral sans théologie, du symbolique sans pur esthétisme, du normatif sans juridicité explicite, du pratique sans réduction technicienne. L’arcalité y est diffuse mais fortement située ; la cratialité relationnelle plutôt que centralisée ; l’archicration s’exerce dans l’ajustement des échanges, des tabous, des seuils d’usage, des équilibres de prélèvement ou des dettes rituelles. Nous sommes bien ici devant des formes composites, non parce qu’elles seraient confuses, mais parce qu’elles agencent plusieurs principes sans les fusionner en une unité doctrinale.</w:t>
      </w:r>
    </w:p>
    <w:p>
      <w:pPr>
        <w:pStyle w:val="BodyText"/>
        <w:rPr/>
      </w:pPr>
      <w:r>
        <w:rPr/>
        <w:t>Ce que montrent toutes ces figures, c’est que l’hybridité n’est pas une anomalie périphérique mais une condition fréquente de la régulation historique. Une société tient souvent non par pureté de régime, mais par tressage de plusieurs logiques partiellement compatibles. L’archicration, dans ces cas, n’est pas le déploiement linéaire d’un seul principe ; elle est l’articulation concrète, parfois fragile, parfois robuste, d’éléments hétérogènes qui se compensent ou se relaient.</w:t>
      </w:r>
    </w:p>
    <w:p>
      <w:pPr>
        <w:pStyle w:val="BodyText"/>
        <w:rPr/>
      </w:pPr>
      <w:r>
        <w:rPr/>
        <w:t>Les formes hybrides obligent ainsi à une vigilance méthodologique décisive. Il ne faut ni les absolutiser en nouveaux méta-régimes autonomes, ni les dissoudre dans l’indistinction empirique. Elles exigent au contraire une lecture capable d’identifier les régimes qui les composent, le principe qui y domine éventuellement, les tensions qui les traversent et les seuils à partir desquels leur équilibre devient instable. En ce sens, elles mettent à l’épreuve la robustesse de toute la typologie : non en l’invalidant, mais en montrant que les formes pures ne deviennent pleinement intelligibles qu’au moment où l’on sait aussi reconnaître leurs combinaisons.</w:t>
      </w:r>
    </w:p>
    <w:p>
      <w:pPr>
        <w:pStyle w:val="BodyText"/>
        <w:rPr/>
      </w:pPr>
      <w:r>
        <w:rPr/>
        <w:t>Ce parcours des formes différentielles et hybrides permet de préciser la portée exacte de notre archéotypologie. Les méta-régimes dégagés précédemment ne valent ni comme des essences closes, ni comme des modèles empiriquement exclusifs, mais comme des pôles de structuration à partir desquels les configurations réelles de co-viabilité se composent, se modulent et se transforment.</w:t>
      </w:r>
    </w:p>
    <w:p>
      <w:pPr>
        <w:pStyle w:val="BodyText"/>
        <w:rPr/>
      </w:pPr>
      <w:r>
        <w:rPr/>
        <w:t>Les formes différentielles ont montré que la régulation peut se maintenir sans activation constante d’un régime pleinement explicite : par intériorisation, par intermittence, par inhibition ou par passage. Les formes hybrides ont montré, quant à elles, que plusieurs logiques archicratiques peuvent coexister dans une même scène sans se réduire à une unité synthétique. Dans les deux cas, l’archicration demeure opérante, mais selon des modalités qui excèdent la figure d’un régime simple.</w:t>
      </w:r>
    </w:p>
    <w:p>
      <w:pPr>
        <w:pStyle w:val="BodyText"/>
        <w:rPr/>
      </w:pPr>
      <w:r>
        <w:rPr/>
        <w:t>Il en résulte une conséquence méthodologique décisive : la typologie archicratique ne doit jamais être mobilisée comme un instrument de classification rigide, mais comme une grammaire d’analyse des compositions régulatrices. Elle permet d’identifier les principes à l’œuvre, de distinguer les vecteurs dominants, de repérer les tensions internes, mais elle doit toujours être réinscrite dans l’épaisseur des montages concrets.</w:t>
      </w:r>
    </w:p>
    <w:p>
      <w:pPr>
        <w:pStyle w:val="BodyText"/>
        <w:rPr/>
      </w:pPr>
      <w:r>
        <w:rPr/>
        <w:t>Cette dernière sous-section ne prolonge donc pas la série des méta-régimes ; elle en éprouve les limites et en met au jour les zones de flexion. Elle montre que la co-viabilité humaine ne se donne presque jamais dans la pureté d’un régime, mais dans des équilibres instables, des alternances, des tressages et des ajustements situés. Un tableau de synthèse de ces formes différentielles et hybrides est présenté en annexe.</w:t>
      </w:r>
    </w:p>
    <w:p>
      <w:pPr>
        <w:pStyle w:val="Heading2"/>
        <w:numPr>
          <w:ilvl w:val="1"/>
          <w:numId w:val="2"/>
        </w:numPr>
        <w:rPr/>
      </w:pPr>
      <w:r>
        <w:rPr>
          <w:b/>
          <w:bCs/>
        </w:rPr>
        <w:t>Typologie archéogénétique des méta-régimes régulateurs</w:t>
      </w:r>
    </w:p>
    <w:p>
      <w:pPr>
        <w:pStyle w:val="BodyText"/>
        <w:rPr/>
      </w:pPr>
      <w:r>
        <w:rPr/>
        <w:t>Au terme de ce parcours, la typologie archéogénétique des méta-régimes régulateurs ne doit être comprise ni comme une classification figée, ni comme un inventaire empirique des formes observables dans l’histoire humaine. Elle constitue une cartographie des principales modalités selon lesquelles une société peut instituer, maintenir, transformer et éprouver sa co-viabilité.</w:t>
      </w:r>
    </w:p>
    <w:p>
      <w:pPr>
        <w:pStyle w:val="BodyText"/>
        <w:rPr/>
      </w:pPr>
      <w:r>
        <w:rPr/>
        <w:t>Le nombre et la distinction de ces méta-régimes ne valent donc ni comme découpage absolu du réel historique, ni comme nomenclature close. Ils répondent à une exigence d’irréductibilité morphologique : un nouveau méta-régime n’est nommé que lorsqu’apparaît une manière distincte d’articuler fondement, opération et épreuve, sans pouvoir être ramenée sans perte décisive à une forme déjà décrite. Inversement, là où la variation n’affecte que l’intensité, la dominante ou la combinaison de logiques déjà identifiées, il faut parler de modulation, d’hybridation ou de composition, non de méta-régime nouveau.</w:t>
      </w:r>
    </w:p>
    <w:p>
      <w:pPr>
        <w:pStyle w:val="BodyText"/>
        <w:rPr/>
      </w:pPr>
      <w:r>
        <w:rPr/>
        <w:t>La typologie n’est donc pas un droit à multiplier les catégories ; elle est une discipline de discrimination. Par conséquent, les douze méta-régimes spécifiques dégagés au fil de cette section — du proto-symbolique au guerrier — n’ont ni valeur d’époque, ni statut de stades évolutifs. Ils désignent des matrices de cohérence régulatrice, c’est-à-dire des compositions relativement distinctes entre arcalité, cratialité et archicration, à partir desquelles un ordre peut se rendre pensable, praticable et contestable. Le plan différentiel et hybride qui clôt la section n’ajoute pas un régime supplémentaire à cette série ; il en explicite la plasticité concrète, en montrant que les configurations historiques effectives procèdent souvent par modulation, combinaison ou chevauchement de ces pôles.</w:t>
      </w:r>
    </w:p>
    <w:p>
      <w:pPr>
        <w:pStyle w:val="BodyText"/>
        <w:rPr/>
      </w:pPr>
      <w:r>
        <w:rPr/>
        <w:t>Malgré leur hétérogénéité, ces régimes ont en commun une même structure intelligible. Chacun organise, selon une composition singulière, une arcalité, une cratialité et une archicration. L’arcalité désigne ce par quoi un ordre se rend recevable ; la cratialité, ce par quoi il se rend opératoire, agissant et distributif ; l’archicration, enfin, la scène dans laquelle cet ordre s’expose, se règle, s’éprouve, se confirme ou se reconfigure. Ce n’est donc pas l’identité de leurs contenus qui permet de comparer ces méta-régimes, mais la manière dont chacun agence ces trois vecteurs.</w:t>
      </w:r>
    </w:p>
    <w:p>
      <w:pPr>
        <w:pStyle w:val="BodyText"/>
        <w:rPr/>
      </w:pPr>
      <w:r>
        <w:rPr/>
        <w:t>C’est en ce sens que l’archicratie ne doit jamais être comprise comme une substance, un domaine particulier ou une idéologie parmi d’autres. Elle désigne la lecture même par laquelle une société se donne une forme tenable, une puissance d’effectuation et une scène de régulation. Les régimes diffèrent par leur principe de fondation, par leur mode d’autorité et par leur manière propre de mettre en jeu le lien collectif ; mais tous relèvent de cette même grammaire triangulaire. La typologie proposée dans cette section n’a donc pas pour fonction de juxtaposer des contenus hétéroclites, mais de rendre comparables des modes distincts de composition entre fondement, puissance et épreuve.</w:t>
      </w:r>
    </w:p>
    <w:p>
      <w:pPr>
        <w:pStyle w:val="BodyText"/>
        <w:rPr/>
      </w:pPr>
      <w:r>
        <w:rPr/>
        <w:t xml:space="preserve">L’ambition n’est pas ici d’expliquer l’histoire universelle des formes politiques, mais de fournir une grammaire généalogique permettant de penser la pluralité des régulations humaines sans les réduire à un modèle unique. Il ne s’agit pas de dire </w:t>
      </w:r>
      <w:r>
        <w:rPr>
          <w:i/>
          <w:iCs/>
        </w:rPr>
        <w:t>ce qui a été</w:t>
      </w:r>
      <w:r>
        <w:rPr/>
        <w:t xml:space="preserve">, mais de rendre intelligible </w:t>
      </w:r>
      <w:r>
        <w:rPr>
          <w:i/>
          <w:iCs/>
        </w:rPr>
        <w:t>comment un ordre peut advenir, persister ou se dissoudre, en fonction de configurations archicratiques localisées</w:t>
      </w:r>
      <w:r>
        <w:rPr/>
        <w:t>. En cela, la typologie n’est ni descriptive ni normative : elle est structurante — c’est-à-dire apte à saisir les régularités formelles qui sous-tendent des réalités empiriques hétérogènes.</w:t>
      </w:r>
    </w:p>
    <w:p>
      <w:pPr>
        <w:pStyle w:val="BodyText"/>
        <w:rPr/>
      </w:pPr>
      <w:r>
        <w:rPr/>
        <w:t>Cette cartographie appelle toutefois une vigilance critique constante. D’abord parce qu’une typologie, si rigoureuse soit-elle, demeure une abstraction : elle isole des cohérences, mais les sociétés historiques ne se laissent jamais réduire entièrement à ces lignes pures. Les cas mixtes, les régimes en tension, les formes instables ou disjointes ne sont donc pas des anomalies secondaires ; ils rappellent que l’archicration agit le plus souvent dans des agencements traversés de porosités, de relais et de déplacements. Ensuite parce que tout ordre régulateur comporte aussi une part d’opacité : la co-viabilité ne se donne pas toujours dans la pleine visibilité de ses principes, mais aussi dans des gestes, des silences, des inhibitions, des marges ou des refus, où l’archicration opère sans nécessairement se déclarer.</w:t>
      </w:r>
    </w:p>
    <w:p>
      <w:pPr>
        <w:pStyle w:val="BodyText"/>
        <w:rPr/>
      </w:pPr>
      <w:r>
        <w:rPr/>
        <w:t>C’est pourquoi la présente typologie doit être comprise moins comme une classification close que comme une grammaire comparative. Elle ne vise ni à ordonner les sociétés selon une échelle, ni à distribuer les régimes sur une ligne d’évolution. Elle donne plutôt les moyens de saisir comment un ordre advient, se maintient, vacille ou se recompose selon des configurations archicratiques situées. Il n’y a pas de progrès régulateur au sens linéaire ; il n’y a que des montages historiques, des équilibres précaires, des condensations, des reprises et des déplacements.</w:t>
      </w:r>
    </w:p>
    <w:p>
      <w:pPr>
        <w:pStyle w:val="BodyText"/>
        <w:rPr/>
      </w:pPr>
      <w:r>
        <w:rPr/>
        <w:t>Telle est la leçon la plus profonde de cette section : l’archicratie n’est pas un régime supplémentaire parmi d’autres, mais la condition formelle de toute régulation pensable. Elle désigne la structure par laquelle une société se rend capable de fonder, d’activer et d’éprouver son propre ordre. En ce sens, elle n’est pas une doctrine du pouvoir, mais une intelligence de ses formes.</w:t>
      </w:r>
    </w:p>
    <w:p>
      <w:pPr>
        <w:pStyle w:val="BodyText"/>
        <w:rPr/>
      </w:pPr>
      <w:r>
        <w:rPr/>
        <w:t>Dès lors, le passage au chapitre suivant ne consistera pas à quitter cette typologie, mais à la mettre à l’épreuve des trajectoires historiques concrètes. Après avoir reconstruit les grandes formes de régulation, il faudra désormais examiner leurs compositions effectives, leurs déplacements, leurs tensions et leurs incarnations civilisationnelles. Ainsi s’achève la section 2.2 : non comme clôture définitive, mais comme grammaire de lecture pour la suite de l’essai.</w:t>
      </w:r>
    </w:p>
    <w:p>
      <w:pPr>
        <w:pStyle w:val="Heading2"/>
        <w:numPr>
          <w:ilvl w:val="1"/>
          <w:numId w:val="2"/>
        </w:numPr>
        <w:rPr/>
      </w:pPr>
      <w:r>
        <w:rPr>
          <w:b/>
          <w:bCs/>
        </w:rPr>
        <w:t>2.3 — Historiographie comparée des régimes régulateurs</w:t>
      </w:r>
    </w:p>
    <w:p>
      <w:pPr>
        <w:pStyle w:val="BodyText"/>
        <w:rPr/>
      </w:pPr>
      <w:r>
        <w:rPr/>
        <w:t>Il ne s’agit donc pas ici d’illustrer après coup une typologie abstraite, mais d’en éprouver la portée dans l’épaisseur des mondes historiques, non plus comme forme pure, mais comme composition située d’arcalité, de cratialité et d’archicration.</w:t>
      </w:r>
    </w:p>
    <w:p>
      <w:pPr>
        <w:pStyle w:val="BodyText"/>
        <w:rPr/>
      </w:pPr>
      <w:r>
        <w:rPr/>
        <w:t>Mais cette typologie, pour puissante qu’elle soit, ne peut rester un exercice spéculatif. Elle appelle, comme sa contrepartie nécessaire, un examen empirique des formes régulatrices effectivement instituées dans l’histoire. C’est l’objet du présent sous-chapitre. Car si la pensée archicratique veut se tenir à la hauteur de sa prétention ontologique — penser les conditions de possibilité de la coexistence humaine — elle doit aussi se confronter aux incarnations historiques, aux déploiements concrets, aux architectures régulatrices telles qu’elles se sont réellement constituées, stabilisées, altérées ou effondrées.</w:t>
      </w:r>
    </w:p>
    <w:p>
      <w:pPr>
        <w:pStyle w:val="BodyText"/>
        <w:rPr/>
      </w:pPr>
      <w:r>
        <w:rPr/>
        <w:t>Ce changement de focale implique un déplacement méthodologique : il ne s’agit plus ici de modéliser des formes pures, mais de diagnostiquer des agencements historiques situés, en mobilisant les outils du comparatisme, de la généalogie et de l’archéologie politique. Chaque section analysera un régime historiquement institué comme constellation singulière d’arcalité, de cratialité et d’archicration.</w:t>
      </w:r>
    </w:p>
    <w:p>
      <w:pPr>
        <w:pStyle w:val="BodyText"/>
        <w:rPr/>
      </w:pPr>
      <w:r>
        <w:rPr/>
        <w:t>Ce parcours nous conduira depuis les régimes de régulation explicitement formulés de l’Antiquité (nomocratie grecque, lex romaine) jusqu’aux dispositifs cybernétiques du XXIe siècle, en passant par les pastorats religieux, les souverainetés monarchiques, les disciplines industrielles, les régimes totalitaires, les formes coloniales et post-coloniales, et les gouvernances technocratiques modernes. À chaque étape, nous interrogerons la manière dont les trois pôles archicratiques ont été activés, distribués, refoulés ou manipulés, dans des cadres historiques et techniques singuliers.</w:t>
      </w:r>
    </w:p>
    <w:p>
      <w:pPr>
        <w:pStyle w:val="BodyText"/>
        <w:rPr/>
      </w:pPr>
      <w:r>
        <w:rPr/>
        <w:t>Mais il faut rappeler que ce travail ne relève pas d’une narration linéaire. Il ne s’agit ni de raconter l’histoire du progrès, ni d’ordonner des séquences, ni de retracer une évolution du simple vers le complexe. Nous nous situons ici dans une épistémologie non téléologique, qui refuse toute flèche du temps régulateur. L’histoire des régimes de co-viabilité n’est pas une montée vers la raison : elle est stratifiée, bifurquante, parfois régressive, toujours composite. Il existe des réactivations de formes anciennes, des cohabitations hybrides et des reconfigurations souterraines ou silencieuses.</w:t>
      </w:r>
    </w:p>
    <w:p>
      <w:pPr>
        <w:pStyle w:val="BodyText"/>
        <w:rPr/>
      </w:pPr>
      <w:r>
        <w:rPr/>
        <w:t>Ce chapitre ne prétendra donc pas délivrer une histoire de la régulation, mais une archéologie comparée des régimes régulateurs, attentive à leurs logiques profondes, à leurs articulations internes et à leurs seuils critiques. Nous mettrons systématiquement en œuvre une méthode de diagnostic différentiel, appuyée sur notre triangle archicratique, afin d’identifier, dans chaque cas :</w:t>
      </w:r>
    </w:p>
    <w:p>
      <w:pPr>
        <w:pStyle w:val="BodyText"/>
        <w:numPr>
          <w:ilvl w:val="0"/>
          <w:numId w:val="3"/>
        </w:numPr>
        <w:rPr/>
      </w:pPr>
      <w:r>
        <w:rPr/>
        <w:t>l’</w:t>
      </w:r>
      <w:r>
        <w:rPr>
          <w:i/>
          <w:iCs/>
        </w:rPr>
        <w:t>arcalité mobilisée</w:t>
      </w:r>
      <w:r>
        <w:rPr/>
        <w:t xml:space="preserve"> (esthético-symbolique, techno-logistique, sacrale, etc.) ;</w:t>
      </w:r>
    </w:p>
    <w:p>
      <w:pPr>
        <w:pStyle w:val="BodyText"/>
        <w:numPr>
          <w:ilvl w:val="0"/>
          <w:numId w:val="3"/>
        </w:numPr>
        <w:rPr/>
      </w:pPr>
      <w:r>
        <w:rPr/>
        <w:t xml:space="preserve">la </w:t>
      </w:r>
      <w:r>
        <w:rPr>
          <w:i/>
          <w:iCs/>
        </w:rPr>
        <w:t>cratialité dominante</w:t>
      </w:r>
      <w:r>
        <w:rPr/>
        <w:t xml:space="preserve"> (inspirée, coercitive, transactionnelle, etc.) ;</w:t>
      </w:r>
    </w:p>
    <w:p>
      <w:pPr>
        <w:pStyle w:val="BodyText"/>
        <w:numPr>
          <w:ilvl w:val="0"/>
          <w:numId w:val="3"/>
        </w:numPr>
        <w:rPr/>
      </w:pPr>
      <w:r>
        <w:rPr/>
        <w:t>la forme d’</w:t>
      </w:r>
      <w:r>
        <w:rPr>
          <w:i/>
          <w:iCs/>
        </w:rPr>
        <w:t>archicration activée</w:t>
      </w:r>
      <w:r>
        <w:rPr/>
        <w:t xml:space="preserve"> (rituelle, scripturale, contractuelle, algorithmique, etc.).</w:t>
      </w:r>
    </w:p>
    <w:p>
      <w:pPr>
        <w:pStyle w:val="BodyText"/>
        <w:rPr/>
      </w:pPr>
      <w:r>
        <w:rPr/>
        <w:t>Nous réserverons un traitement particulier à la configuration émergente du régime cybernético-calculatoire, forme de régulation prédictive, machinique et auto-adaptative, qui constitue une inflexion majeure de la logique archicratique elle-même. S’il trouve ses racines dans certaines matrices antérieures, il introduit néanmoins une discontinuité telle qu’il mérite d’être abordé en tant que forme instituée à part entière, au croisement du politique, du technique et de l’ontologique. Ce régime ne sera pas traité comme un épilogue, mais comme une mise à l’épreuve ultime de notre modèle.</w:t>
      </w:r>
    </w:p>
    <w:p>
      <w:pPr>
        <w:pStyle w:val="BodyText"/>
        <w:rPr/>
      </w:pPr>
      <w:r>
        <w:rPr/>
        <w:t>Ainsi, la section 2.3 ne poursuit pas la typologie. Elle en vérifie la portée. Elle opère le passage du concept à l’histoire, du modèle à la matérialité, de l’ontologie à l’épreuve. Elle montrera que l’archicratie n’est pas une théorie parmi d’autres, mais une clé de lecture de l’histoire humaine — celle qui fait apparaître, dans la diversité des régimes passés et présents, les tensions constitutives entre la forme, la force et la norme, ainsi que les manières infiniment variées dont les sociétés ont tenté d’y répondre.</w:t>
      </w:r>
    </w:p>
    <w:p>
      <w:pPr>
        <w:pStyle w:val="Heading3"/>
        <w:numPr>
          <w:ilvl w:val="2"/>
          <w:numId w:val="2"/>
        </w:numPr>
        <w:rPr/>
      </w:pPr>
      <w:r>
        <w:rPr/>
        <w:t>2.3.1 — De la cité grecque aux empires impériaux</w:t>
      </w:r>
    </w:p>
    <w:p>
      <w:pPr>
        <w:pStyle w:val="BodyText"/>
        <w:rPr/>
      </w:pPr>
      <w:r>
        <w:rPr/>
        <w:t>L’Antiquité n’introduit pas la régulation dans l’histoire humaine ; elle en déplace le régime de visibilité. Ce qui s’y affirme n’est pas l’apparition soudaine de l’ordre politique, mais une transformation de sa scène : dans plusieurs configurations antiques, la co-viabilité cesse d’être principalement portée par l’épaisseur indistincte de la coutume, de la ritualité ou de la seule distribution tacite des places ; elle tend à se formuler, à se mettre en procédure et à se laisser rapporter à des instances plus nettement identifiables de fondation, d’autorité et d’épreuve.</w:t>
      </w:r>
    </w:p>
    <w:p>
      <w:pPr>
        <w:pStyle w:val="BodyText"/>
        <w:rPr/>
      </w:pPr>
      <w:r>
        <w:rPr/>
        <w:t>Il serait toutefois ruineux d’en faire un âge unitaire ou le seuil simple d’une rationalisation continue. Le monde antique tel que nous l’abordons ici n’est ni un bloc, ni une origine unique, ni une promesse téléologique. Il forme un champ de différenciation décisif, où plusieurs compositions du commun deviennent simultanément plus lisibles, plus explicites et plus transmissibles, sans pour autant converger vers une même figure. C’est en cela qu’elle importe à notre enquête : elle donne à voir, avec une netteté nouvelle, des compositions contrastées entre arcalité, cratialité et archicration.</w:t>
      </w:r>
    </w:p>
    <w:p>
      <w:pPr>
        <w:pStyle w:val="BodyText"/>
        <w:rPr/>
      </w:pPr>
      <w:r>
        <w:rPr/>
        <w:t>La présente section ne se propose donc pas de résumer « l’Antiquité », mais d’isoler quelques montages majeurs, dans lesquels la tenue du lien collectif prend une forme suffisamment élaborée pour laisser apparaître, presque à découvert, la logique du triangle archicratique. Athènes, Rome, la Chine impériale et l’Inde brahmanique ne seront pas traitées comme des totalités closes, encore moins comme les étapes d’un récit de civilisation, mais comme des configurations singulières, irréductibles, à travers lesquelles peuvent se comparer plusieurs manières d’instituer, de porter et de régler l’ordre.</w:t>
      </w:r>
    </w:p>
    <w:p>
      <w:pPr>
        <w:pStyle w:val="BodyText"/>
        <w:rPr/>
      </w:pPr>
      <w:r>
        <w:rPr/>
        <w:t>Le cas grec s’impose d’abord, non parce qu’il contiendrait à lui seul l’essence du politique, mais parce qu’il offre l’une des premières scènes où la régulation devient elle-même affaire de forme publique. Avec la cité, et plus particulièrement avec Athènes, l’ordre commun ne se contente plus d’être vécu, hérité ou reconduit ; il s’expose dans des dispositifs où la règle peut être dite, discutée, infléchie, suspendue, reprise. L’ecclésia, l’agora, les tribunaux, les procédures de révision ne constituent pas un simple entourage institutionnel : ils forment l’espace même dans lequel la cité éprouve sa propre capacité à se gouverner.</w:t>
      </w:r>
    </w:p>
    <w:p>
      <w:pPr>
        <w:pStyle w:val="BodyText"/>
        <w:rPr/>
      </w:pPr>
      <w:r>
        <w:rPr/>
        <w:t>Ce point mérite d’être tenu avec précision. L’originalité athénienne ne réside pas dans une disparition du conflit, ni même dans une souveraineté populaire au sens plein, mais dans la production de formes recevables pour son traitement. L’arcalité y prend visage public ; la cratialité s’y distribue selon des procédures ; l’archicration y devient, pour une part décisive, l’organisation même des conditions dans lesquelles le désaccord peut être reconduit sans dissoudre la cité. La règle n’y vaut pas parce qu’elle descend d’un ailleurs indisponible, mais parce qu’elle entre dans des scènes où elle peut être reconduite, disputée et reformulée.</w:t>
      </w:r>
    </w:p>
    <w:p>
      <w:pPr>
        <w:pStyle w:val="BodyText"/>
        <w:rPr/>
      </w:pPr>
      <w:r>
        <w:rPr/>
        <w:t>Il faut aussitôt ajouter que cette exposition n’a rien d’universel. Le peuple athénien n’inclut ni tous les habitants de la cité, ni même tous ceux qui contribuent à son existence matérielle. Femmes, esclaves, métèques, étrangers demeurent, sous des formes diverses, retranchés de cette scène civique. Cette restriction n’invalide pas l’analyse ; elle en constitue au contraire l’une des conditions historiques. Athènes ne donne pas à voir une démocratie accomplie, mais une forme puissamment inventée et étroitement circonscrite de co-viabilité par publicité conflictuelle de la règle. C’est sous cette condition qu’elle nous importe ici.</w:t>
      </w:r>
    </w:p>
    <w:p>
      <w:pPr>
        <w:pStyle w:val="BodyText"/>
        <w:rPr/>
      </w:pPr>
      <w:r>
        <w:rPr/>
        <w:t>Mais ce régime demeure asymétrique. Comme l’ont rappelé Moses Finley (</w:t>
      </w:r>
      <w:r>
        <w:rPr>
          <w:i/>
          <w:iCs/>
        </w:rPr>
        <w:t>Démocratie antique et démocratie moderne</w:t>
      </w:r>
      <w:r>
        <w:rPr/>
        <w:t>, 1973) et Nicole Loraux (</w:t>
      </w:r>
      <w:r>
        <w:rPr>
          <w:i/>
          <w:iCs/>
        </w:rPr>
        <w:t>La Cité divisée</w:t>
      </w:r>
      <w:r>
        <w:rPr/>
        <w:t xml:space="preserve">, 1997), le citoyen athénien n’est pas tout homme : il est mâle, libre, autochtone, majeur, propriétaire. Les femmes, les métèques, les esclaves, les étrangers sont exclus de la scène régulatrice. Ce qui ne signifie pas absence de régulation à leur égard, mais </w:t>
      </w:r>
      <w:r>
        <w:rPr>
          <w:i/>
          <w:iCs/>
        </w:rPr>
        <w:t>régulation sans voix</w:t>
      </w:r>
      <w:r>
        <w:rPr/>
        <w:t>. Le régime est donc fortement gérontocratique, patriarcal, nativiste, bien que formellement isonomique. Il constitue un archétype d’archicration civique restreinte : réflexive pour certains, invisible pour d’autres.</w:t>
      </w:r>
    </w:p>
    <w:p>
      <w:pPr>
        <w:pStyle w:val="BodyText"/>
        <w:rPr/>
      </w:pPr>
      <w:r>
        <w:rPr/>
        <w:t>La richesse et la complexité de ce régime ont été remarquablement restituées par Mogens H. Hansen (</w:t>
      </w:r>
      <w:r>
        <w:rPr>
          <w:i/>
          <w:iCs/>
        </w:rPr>
        <w:t>The Athenian Democracy in the Age of Demosthenes</w:t>
      </w:r>
      <w:r>
        <w:rPr/>
        <w:t xml:space="preserve">, 1991), qui montre combien les institutions athéniennes — </w:t>
      </w:r>
      <w:r>
        <w:rPr>
          <w:i/>
          <w:iCs/>
        </w:rPr>
        <w:t>boulè</w:t>
      </w:r>
      <w:r>
        <w:rPr/>
        <w:t xml:space="preserve">, </w:t>
      </w:r>
      <w:r>
        <w:rPr>
          <w:i/>
          <w:iCs/>
        </w:rPr>
        <w:t>ecclésia</w:t>
      </w:r>
      <w:r>
        <w:rPr/>
        <w:t xml:space="preserve">, </w:t>
      </w:r>
      <w:r>
        <w:rPr>
          <w:i/>
          <w:iCs/>
        </w:rPr>
        <w:t>dikastèria</w:t>
      </w:r>
      <w:r>
        <w:rPr/>
        <w:t xml:space="preserve">, </w:t>
      </w:r>
      <w:r>
        <w:rPr>
          <w:i/>
          <w:iCs/>
        </w:rPr>
        <w:t>euthynai</w:t>
      </w:r>
      <w:r>
        <w:rPr/>
        <w:t xml:space="preserve">, </w:t>
      </w:r>
      <w:r>
        <w:rPr>
          <w:i/>
          <w:iCs/>
        </w:rPr>
        <w:t>ostracisme</w:t>
      </w:r>
      <w:r>
        <w:rPr/>
        <w:t xml:space="preserve">, </w:t>
      </w:r>
      <w:r>
        <w:rPr>
          <w:i/>
          <w:iCs/>
        </w:rPr>
        <w:t>nomothetai</w:t>
      </w:r>
      <w:r>
        <w:rPr/>
        <w:t xml:space="preserve"> — formaient un écosystème régulateur capable d’articuler normes, dissensus, mémoire et sanction, sans jamais produire une figure souveraine de centralité. Le pouvoir ne réside pas dans un lieu, mais dans une forme mouvante, ritualisée, distribuée — un régime où l’ordre se construit par activation synchronique des trois vecteurs, sans verticalité stable.</w:t>
      </w:r>
    </w:p>
    <w:p>
      <w:pPr>
        <w:pStyle w:val="BodyText"/>
        <w:rPr/>
      </w:pPr>
      <w:r>
        <w:rPr/>
        <w:t xml:space="preserve">Cette tension — entre la visibilité des formes et l’invisibilité des exclusions ; entre le procédural et la hiérarchie sociale — constitue le cœur du régime athénien : une </w:t>
      </w:r>
      <w:r>
        <w:rPr>
          <w:i/>
          <w:iCs/>
        </w:rPr>
        <w:t>co-viabilité</w:t>
      </w:r>
      <w:r>
        <w:rPr/>
        <w:t xml:space="preserve"> normative à conflictualité formalisée, où le désaccord devient ressource de stabilisation, où la règle est produite comme champ d’épreuve. La tragédie grecque, selon Nicole Loraux, en incarne le miroir inversé : non pas la célébration de la cité, mais sa mise en crise rituelle. La </w:t>
      </w:r>
      <w:r>
        <w:rPr>
          <w:i/>
          <w:iCs/>
        </w:rPr>
        <w:t>polis</w:t>
      </w:r>
      <w:r>
        <w:rPr/>
        <w:t xml:space="preserve"> grecque n’a pas réalisé l’égalité : elle a inventé la </w:t>
      </w:r>
      <w:r>
        <w:rPr>
          <w:i/>
          <w:iCs/>
        </w:rPr>
        <w:t>mise en forme de la régulation</w:t>
      </w:r>
      <w:r>
        <w:rPr/>
        <w:t xml:space="preserve"> — l’</w:t>
      </w:r>
      <w:r>
        <w:rPr>
          <w:i/>
          <w:iCs/>
        </w:rPr>
        <w:t>archicration</w:t>
      </w:r>
      <w:r>
        <w:rPr/>
        <w:t xml:space="preserve"> comme scène agonistique.</w:t>
      </w:r>
    </w:p>
    <w:p>
      <w:pPr>
        <w:pStyle w:val="BodyText"/>
        <w:rPr/>
      </w:pPr>
      <w:r>
        <w:rPr/>
        <w:t>Mais Rome engage une inflexion d’une tout autre nature. Là où Athènes avait porté à une visibilité inédite la scène publique de mise en débat de l’ordre commun, Rome déplace le centre de gravité de la régulation vers la capacité à stabiliser, prolonger et étendre une normativité durable. Le problème n’y est plus principalement celui de la participation à la règle, mais celui de sa tenue dans le temps, de sa transmissibilité à travers les générations politiques, et de son applicabilité à des ensembles humains de plus en plus vastes et différenciés.</w:t>
      </w:r>
    </w:p>
    <w:p>
      <w:pPr>
        <w:pStyle w:val="BodyText"/>
        <w:rPr/>
      </w:pPr>
      <w:r>
        <w:rPr/>
        <w:t xml:space="preserve">Ce déplacement est décisif. Rome ne se comprend pas d’abord comme une civilisation de la délibération, mais comme une civilisation de la continuité normative. L’arcalité romaine ne réside donc ni dans un mythe d’origine simplement reconduit, ni dans l’ouverture répétée d’une scène agonistique, mais dans l’épaisseur cumulative d’un monde de formes, de statuts, de précédents, de procédures et de qualifications capable de donner à la </w:t>
      </w:r>
      <w:r>
        <w:rPr>
          <w:i/>
          <w:iCs/>
        </w:rPr>
        <w:t>res publica</w:t>
      </w:r>
      <w:r>
        <w:rPr/>
        <w:t>, puis à l’Empire, une consistance propre. L’ordre collectif y devient moins affaire d’exposition conflictuelle immédiate que de tenue structurelle d’une architecture de validité.</w:t>
      </w:r>
    </w:p>
    <w:p>
      <w:pPr>
        <w:pStyle w:val="BodyText"/>
        <w:rPr/>
      </w:pPr>
      <w:r>
        <w:rPr/>
        <w:t>C’est dans cette perspective qu’il faut comprendre la force spécifique du droit romain. Il ne constitue pas seulement un instrument de résolution des litiges parmi d’autres ; il devient une matrice de production et de stabilisation de l’ordre. Comme l’a puissamment montré Yan Thomas, le droit romain n’est pas la simple expression d’une volonté politique préalable : il produit des effets propres de qualification, de distribution et de continuité. Il permet de faire tenir ensemble des différenciations de personnes, de biens, de lieux et de fonctions dans une syntaxe normative suffisamment robuste pour survivre à la variabilité des situations. La force n’y est pas extérieure au droit ; elle en est l’un des vecteurs de réalisation, mais sous une forme médiatisée, qualifiée et durable.</w:t>
      </w:r>
    </w:p>
    <w:p>
      <w:pPr>
        <w:pStyle w:val="BodyText"/>
        <w:rPr/>
      </w:pPr>
      <w:r>
        <w:rPr/>
        <w:t>La cratialité romaine se caractérise dès lors par sa distribution stratifiée. Sénat, magistratures, imperium, commandements militaires, juridictions, administrations : autant d’instances qui ne se superposent pas parfaitement, mais qui composent un champ de puissance hiérarchisé, différencié et relativement durable. Rome ne supprime pas les tensions entre ces pôles ; elle les agence dans une structure où la continuité de l’ordre importe davantage que la publicité du dissensus. La puissance n’y est donc ni purement collégiale comme à Athènes, ni encore totalement absorbée par une souveraineté unique : elle se déploie dans un système de relais, de délégations et de qualifications.</w:t>
      </w:r>
    </w:p>
    <w:p>
      <w:pPr>
        <w:pStyle w:val="BodyText"/>
        <w:rPr/>
      </w:pPr>
      <w:r>
        <w:rPr/>
        <w:t>Avec l’Empire, cette logique franchit un seuil supplémentaire. L’archicration romaine tend alors à devenir textuelle, cumulative et centralisée. La normativité n’est plus seulement produite dans des scènes civiques situées ; elle se déploie dans un espace impérial où édits, rescrits, compilations et qualifications juridiques permettent d’étendre l’ordre à distance. Le droit devient infrastructure de régulation à grande échelle. Il ne se contente pas de dire ce qui est permis ou interdit : il distribue des statuts, hiérarchise des appartenances, qualifie des territoires, articule des fonctions. Le citoyen, le pérégrin, l’affranchi, l’esclave, le provincial ne relèvent pas d’un même régime de co-viabilité ; ils sont intégrés dans une architecture différentielle dont l’universalité affichée masque une forte stratification normative.</w:t>
      </w:r>
    </w:p>
    <w:p>
      <w:pPr>
        <w:pStyle w:val="BodyText"/>
        <w:rPr/>
      </w:pPr>
      <w:r>
        <w:rPr/>
        <w:t>C’est ce qui fait la singularité profonde de Rome dans notre parcours : non pas avoir inventé l’ordre politique, mais avoir donné à la régulation une forme de durabilité impersonnelle inédite. Là où Athènes exposait la règle à la reprise conflictuelle, Rome lui confère une capacité supérieure de continuité, de qualification et d’extension. Elle institue ainsi une archicration juridico-politique de grande portée, dans laquelle la co-viabilité se soutient moins par la participation directe au débat que par l’intégration différenciée dans un monde de normes, de procédures et de statuts suffisamment consistant pour faire tenir ensemble un espace politique d’une ampleur sans précédent.</w:t>
      </w:r>
    </w:p>
    <w:p>
      <w:pPr>
        <w:pStyle w:val="BodyText"/>
        <w:rPr/>
      </w:pPr>
      <w:r>
        <w:rPr/>
        <w:t>Or cette forme n’est ni unique, ni exclusive. Hors du monde méditerranéen, d’autres civilisations antiques ont élaboré, selon des logiques tout aussi rigoureuses, des régimes archicratiques puissants, durables et hautement différenciés. Mais elles le font à partir d’un autre problème que celui posé par Athènes ou Rome : non plus seulement celui de la participation civique ou de la continuité juridico-politique de l’ordre, mais celui de l’ajustement entre hiérarchie cosmologique, ritualité sociale, textualité normative et administration des conduites.</w:t>
      </w:r>
    </w:p>
    <w:p>
      <w:pPr>
        <w:pStyle w:val="BodyText"/>
        <w:rPr/>
      </w:pPr>
      <w:r>
        <w:rPr/>
        <w:t>La Chine impériale fournit ici un cas majeur. Sous les Han, l’ordre ne repose ni sur la seule coercition légale, ni sur la seule intériorité morale, mais sur l’articulation réglée du Li et du Fa. Le rite n’y constitue pas un supplément décoratif de la loi ; il modèle les positions, les gestes, les hiérarchies et les obligations relationnelles. La loi, de son côté, ne vient pas abolir cette trame rituelle, mais la relayer, la durcir et la rendre justiciable lorsque l’ajustement symbolique ne suffit plus. Il en résulte une composition particulièrement dense entre arcalité, cratialité et archicration : l’arcalité s’enracine dans une cosmologie hiérarchisée du monde humain ; la cratialité se déploie à travers une bureaucratie impériale de plus en plus organisée ; l’archicration s’effectue dans la médiation constante entre canon, commentaire, décret, procédure et conduite.</w:t>
      </w:r>
    </w:p>
    <w:p>
      <w:pPr>
        <w:pStyle w:val="BodyText"/>
        <w:rPr/>
      </w:pPr>
      <w:r>
        <w:rPr/>
        <w:t>Ce point est décisif. Le pouvoir chinois classique ne cherche pas seulement à imposer un ordre ; il cherche à faire coïncider ordre social, tenue rituelle et intelligibilité cosmique. Comme l’a montré Mark Edward Lewis, la durabilité impériale tient précisément à cette capacité d’articulation : gouverner, ce n’est pas seulement contraindre, c’est inscrire les conduites dans une forme générale d’harmonisation entre places, temporalités et obligations. L’ordre y est moins délibératif qu’à Athènes, moins strictement juridique qu’à Rome, mais plus fortement intégré à une architecture continue de gestes, de fonctions et de textes.</w:t>
      </w:r>
    </w:p>
    <w:p>
      <w:pPr>
        <w:pStyle w:val="BodyText"/>
        <w:rPr/>
      </w:pPr>
      <w:r>
        <w:rPr/>
        <w:t xml:space="preserve">L’Inde ancienne et classique fait apparaître une autre modalité, non moins élaborée, de composition archicratique. Ici, la régulation ne se laisse pas reconduire à un simple ordre théologico-politique indistinct. Elle articule des textualités normatives, des hiérarchies statutaires, des dispositifs de souveraineté et des économies du devoir selon une pluralité de plans partiellement superposés. Le </w:t>
      </w:r>
      <w:r>
        <w:rPr>
          <w:i/>
          <w:iCs/>
        </w:rPr>
        <w:t>dharma</w:t>
      </w:r>
      <w:r>
        <w:rPr/>
        <w:t xml:space="preserve"> n’est pas seulement une règle religieuse ; il fonctionne comme principe de tenue du monde social, de répartition des fonctions, d’orientation des conduites et de différenciation des obligations. L’arcalité indienne se forme ainsi dans l’imbrication du cosmique, du statutaire et du normatif.</w:t>
      </w:r>
    </w:p>
    <w:p>
      <w:pPr>
        <w:pStyle w:val="BodyText"/>
        <w:rPr/>
      </w:pPr>
      <w:r>
        <w:rPr/>
        <w:t>Mais cette arcalité ne demeure pas purement spéculative. Avec les formations impériales, notamment maurya puis gupta, elle se trouve relayée par des appareils de commandement, des formes administratives, des fiscalités, des juridictions et des instruments textuels qui donnent à cette normativité une portée gouvernementale réelle. L’</w:t>
      </w:r>
      <w:r>
        <w:rPr>
          <w:i/>
          <w:iCs/>
        </w:rPr>
        <w:t>Arthaśāstra</w:t>
      </w:r>
      <w:r>
        <w:rPr/>
        <w:t>, si singulier à cet égard, montre bien que la régulation du monde humain ne relève pas seulement d’un ordre moral ou rituel, mais aussi d’un art de gouverner, de surveiller, de prélever, de punir et d’administrer. La cratialité y devient plus explicite, plus stratégique, parfois plus froide, sans rompre pour autant avec l’arrière-plan statutaire et cosmologique qui en soutient la légitimité.</w:t>
      </w:r>
    </w:p>
    <w:p>
      <w:pPr>
        <w:pStyle w:val="BodyText"/>
        <w:rPr/>
      </w:pPr>
      <w:r>
        <w:rPr/>
        <w:t>Ainsi, la comparaison avec la Chine et l’Inde oblige à déplacer notre regard. Elle montre que les grandes civilisations impériales antiques n’ont pas seulement produit des variantes exotiques d’un même schéma politique ; elles ont élaboré des solutions archicratiques distinctes au problème de la co-viabilité à grande échelle. Athènes intensifiait la scène civique ; Rome épaississait la continuité normative ; la Chine articulait rite, loi et administration dans une cosmologie hiérarchisée ; l’Inde composait devoir statutaire, textualité normative et souveraineté stratégique dans une pluralité fortement différenciée d’ordres.</w:t>
      </w:r>
    </w:p>
    <w:p>
      <w:pPr>
        <w:pStyle w:val="BodyText"/>
        <w:rPr/>
      </w:pPr>
      <w:r>
        <w:rPr/>
        <w:t>Ce détour est essentiel, car il interdit toute provincialisation de notre typologie. L’archicratie n’a pas une seule matrice historique. Elle se laisse au contraire reconnaître dans plusieurs grandes inventions civilisationnelles du lien régulé, à condition de décrire chaque fois la manière singulière dont s’y composent fondement, puissance et scène d’épreuve.</w:t>
      </w:r>
    </w:p>
    <w:p>
      <w:pPr>
        <w:pStyle w:val="BodyText"/>
        <w:rPr/>
      </w:pPr>
      <w:r>
        <w:rPr/>
        <w:t>Au terme de ce parcours, l’Antiquité apparaît moins comme une origine unifiée de la régulation que comme un puissant champ de différenciation archicratique. Ce qui s’y laisse observer avec une netteté nouvelle, ce n’est pas l’invention soudaine de l’ordre, mais la pluralisation explicite de ses formes : ici, la scène civique de la reprise conflictuelle ; là, la continuité normative d’un monde juridiquement qualifié ; ailleurs, l’articulation du rite, de la loi, du commentaire et de l’administration ; ailleurs encore, la composition de la textualité normative, du statut et de la souveraineté.</w:t>
      </w:r>
    </w:p>
    <w:p>
      <w:pPr>
        <w:pStyle w:val="BodyText"/>
        <w:rPr/>
      </w:pPr>
      <w:r>
        <w:rPr/>
        <w:t>Athènes, Rome, la Chine impériale et l’Inde ancienne ne doivent donc pas être distribuées sur une même ligne de développement. Elles constituent des réponses distinctes à un problème commun : comment rendre un ordre collectif suffisamment fondé pour être reconnu, suffisamment opératoire pour durer, et suffisamment réglé pour traverser ses propres tensions. C’est en cela que ces configurations importent : chacune fait apparaître, sous une forme particulièrement lisible, une manière singulière de composer arcalité, cratialité et archicration.</w:t>
      </w:r>
    </w:p>
    <w:p>
      <w:pPr>
        <w:pStyle w:val="BodyText"/>
        <w:rPr/>
      </w:pPr>
      <w:r>
        <w:rPr/>
        <w:t>L’apport majeur de l’Antiquité, du point de vue de notre enquête, tient précisément à cette explicitation croissante de la régulation. Non que tout y devienne transparent, juste ou universellement partageable ; mais l’ordre y est de plus en plus saisi dans des formes repérables, transmissibles, discutables ou du moins qualifiables. Il se formule dans des procédures, s’épaissit dans des statuts, se fixe dans des textes, se distribue dans des fonctions, s’inscrit dans des cosmologies ou dans des scènes civiques. La co-viabilité ne cesse pas d’être traversée par les exclusions, les hiérarchies et les asymétries ; mais elle devient davantage objectivable dans ses opérateurs propres.</w:t>
      </w:r>
    </w:p>
    <w:p>
      <w:pPr>
        <w:pStyle w:val="BodyText"/>
        <w:rPr/>
      </w:pPr>
      <w:r>
        <w:rPr/>
        <w:t>C’est pourquoi l’Antiquité constitue un seuil décisif dans la généalogie archicratique : non parce qu’elle accomplirait une rationalité supérieure, mais parce qu’elle rend plus visibles les formes diverses selon lesquelles une société peut instituer, porter et éprouver son ordre. Elle ne nous lègue pas un modèle, mais un éventail de solutions durablement structurantes, dont une part considérable de l’histoire ultérieure héritera, déplacera ou recomposera les tensions.</w:t>
      </w:r>
    </w:p>
    <w:p>
      <w:pPr>
        <w:pStyle w:val="BodyText"/>
        <w:rPr/>
      </w:pPr>
      <w:r>
        <w:rPr/>
        <w:t>Les tableaux de synthèse présentés en annexe n’introduisent pas une typologie supplémentaire des archicrations. Ils visent uniquement à repérer, pour chaque configuration étudiée, la dominante d’archicration à partir de laquelle se laisse lire l’agencement historique considéré, sans préjuger de la pluralité des vecteurs effectivement mobilisés. Le tableau de synthèse présenté en annexe récapitule ces grandes configurations antiques de régulation explicite.</w:t>
      </w:r>
    </w:p>
    <w:p>
      <w:pPr>
        <w:pStyle w:val="BodyText"/>
        <w:rPr/>
      </w:pPr>
      <w:r>
        <w:rPr/>
        <w:t>Mais cette explicitation du normatif n’épuise nullement le problème de la co-viabilité. Avec le Moyen Âge, la scène régulatrice se reconfigure profondément : la fragmentation des héritages impériaux, la montée en puissance des autorités religieuses et l’épaisseur croissante des liens d’allégeance déplacent le centre de gravité de l’ordre. La norme n’y sera plus d’abord portée par la publicité civique ou par la seule continuité juridique, mais davantage par la révélation, la hiérarchie sacrée, la fidélité personnelle et l’incorporation des devoirs. C’est à cette nouvelle composition des régimes de co-viabilité que sera consacrée la sous-section suivante.</w:t>
      </w:r>
    </w:p>
    <w:p>
      <w:pPr>
        <w:pStyle w:val="Heading3"/>
        <w:numPr>
          <w:ilvl w:val="2"/>
          <w:numId w:val="2"/>
        </w:numPr>
        <w:rPr/>
      </w:pPr>
      <w:r>
        <w:rPr/>
        <w:t>2.3.2 — Régimes religieux et suzerains médiévaux : structurations hiérarchiques, théologico-rituelles et féodales</w:t>
      </w:r>
    </w:p>
    <w:p>
      <w:pPr>
        <w:pStyle w:val="BodyText"/>
        <w:rPr/>
      </w:pPr>
      <w:r>
        <w:rPr/>
        <w:t>Si l’Antiquité avait rendu plus visibles des formes de régulation portées par la cité, le droit ou l’architecture impériale, le Moyen Âge déplace à nouveau le centre de gravité de la co-viabilité. L’ordre n’y repose plus prioritairement sur la publicité civique de la règle ni sur la seule continuité juridico-administrative d’un appareil politique ; il tend davantage à se soutenir par la vérité révélée, la hiérarchie des médiations, la ritualisation des dépendances et l’épaisseur mémorielle des appartenances. Il serait dès lors historiquement faux d’en faire un simple entre-deux, suspendu entre Antiquité et modernité. Le monde médiéval constitue au contraire l’un des grands laboratoires historiques de compositions archicratiques denses, durables et hautement différenciées.</w:t>
      </w:r>
    </w:p>
    <w:p>
      <w:pPr>
        <w:pStyle w:val="BodyText"/>
        <w:rPr/>
      </w:pPr>
      <w:r>
        <w:rPr/>
        <w:t>Ce qui s’y transforme n’est pas l’existence même de la régulation, mais son mode d’ancrage. L’arcalité s’y noue plus fortement à des sources transcendantes, lignagères ou rituelles ; la cratialité se distribue dans des chaînes de médiation plus épaisses, souvent imbriquées ; l’archicration se déploie dans des formes où l’écriture, le serment, le commentaire, la mémoire orale, la liturgie ou la jurisprudence se relaient sans cesse. Il en résulte des régimes de co-viabilité qui ne sont ni moins structurés ni moins puissants que ceux de l’Antiquité, mais dont la logique propre tient à l’enchâssement de l’ordre dans des hiérarchies de salut, de fidélité, d’interprétation ou de coutume.</w:t>
      </w:r>
    </w:p>
    <w:p>
      <w:pPr>
        <w:pStyle w:val="BodyText"/>
        <w:rPr/>
      </w:pPr>
      <w:r>
        <w:rPr/>
        <w:t>La chrétienté latine médiévale fournit un premier cas majeur de cette recomposition. Elle importe ici non comme modèle exclusif du Moyen Âge, mais comme configuration particulièrement lisible d’un régime archicratique fondé sur la transcendance administrée. À partir de la consolidation ecclésiale et, plus nettement encore, de la réforme grégorienne, l’Église latine ne se borne pas à encadrer une croyance : elle constitue un appareil de régulation étendu, capable d’ordonner les conduites, de hiérarchiser les fonctions, de qualifier les déviances et d’inscrire le salut lui-même dans une économie normative de la correction.</w:t>
      </w:r>
    </w:p>
    <w:p>
      <w:pPr>
        <w:pStyle w:val="BodyText"/>
        <w:rPr/>
      </w:pPr>
      <w:r>
        <w:rPr/>
        <w:t>L’arcalité chrétienne y est d’abord transcendante et verticale. Elle s’origine dans la révélation, dans l’autorité scripturaire, dans la figure du Christ, dans la tradition apostolique et dans l’institution ecclésiale comme médiation autorisée de cette vérité. Mais cette transcendance n’est pas laissée à l’état d’énoncé abstrait : elle prend corps dans des dispositifs visibles — liturgie, architecture sacrée, hiérarchie cléricale, découpage du temps religieux, distribution des sacrements — qui rendent l’ordre divin socialement habitable. La norme ne vaut pas seulement parce qu’elle est dite vraie ; elle vaut parce qu’elle se trouve déposée dans une trame terrestre de lieux, de gestes, de rythmes et de fonctions qui la rendent continuellement présente.</w:t>
      </w:r>
    </w:p>
    <w:p>
      <w:pPr>
        <w:pStyle w:val="BodyText"/>
        <w:rPr/>
      </w:pPr>
      <w:r>
        <w:rPr/>
        <w:t>La cratialité se déploie alors sous une forme pastorale et disciplinaire d’une grande intensité. Comme l’a montré Foucault, le christianisme latin médiéval ne gouverne pas principalement par l’occupation exhaustive du territoire, mais par la conduite des conduites, par l’examen des âmes, par l’obligation de vérité imposée aux sujets sur eux-mêmes. Confession, pénitence, direction de conscience, correction fraternelle, surveillance des mœurs, qualification des fautes : autant de dispositifs qui font de l’intériorité elle-même un lieu de régulation. L’autorité ecclésiale n’agit donc pas seulement sur des actes extérieurs ; elle s’exerce sur les intentions, sur les désirs, sur les manières de se rapporter à soi et au salut.</w:t>
      </w:r>
    </w:p>
    <w:p>
      <w:pPr>
        <w:pStyle w:val="BodyText"/>
        <w:rPr/>
      </w:pPr>
      <w:r>
        <w:rPr/>
        <w:t>L’archicration chrétienne atteint, dans ce cadre, un degré remarquable d’institutionnalisation. Avec la montée du droit canonique, l’accumulation des décrétales, la systématisation des autorités et le travail scolastique de commentaire, la normativité ecclésiale devient cumulative, interprétative et transmissible. Elle ne repose pas sur la seule répétition du dogme, mais sur un appareil de qualification qui permet de trancher, de corriger, d’ordonner et de hiérarchiser. Le Décret de Gratien marque ici un seuil décisif : non parce qu’il inventerait ex nihilo la normativité chrétienne, mais parce qu’il contribue à la rendre plus cohérente, plus mobilisable, plus généralisable à l’échelle d’un espace latin élargi.</w:t>
      </w:r>
    </w:p>
    <w:p>
      <w:pPr>
        <w:pStyle w:val="BodyText"/>
        <w:rPr/>
      </w:pPr>
      <w:r>
        <w:rPr/>
        <w:t>Il faut toutefois tenir ensemble la puissance intégratrice et la violence potentielle de ce régime. La chrétienté médiévale ne produit pas seulement une économie du salut ; elle institue aussi une normativité exclusive, portée à distinguer l’orthodoxie de l’hérésie, le licite de l’illicite, le pur de l’impur, le conforme du déviant. L’ordre qu’elle soutient n’est donc nullement neutre. Il promet la rédemption, mais distribue aussi l’exclusion ; il organise la charité, mais rend possibles la censure, la condamnation et la répression ; il construit un monde intelligible, mais au prix d’une forte réduction de la pluralité recevable. En ce sens, la chrétienté latine constitue bien un régime archicratique majeur : non parce qu’elle pacifierait le monde, mais parce qu’elle parvient à suturer très largement la co-viabilité sociale, morale et symbolique sous l’autorité d’une vérité révélée institutionnellement administrée.</w:t>
      </w:r>
    </w:p>
    <w:p>
      <w:pPr>
        <w:pStyle w:val="BodyText"/>
        <w:rPr/>
      </w:pPr>
      <w:r>
        <w:rPr/>
        <w:t>À côté du régime ecclésial, l’Europe médiévale déploie une configuration d’une autre nature, plus segmentée, plus territorialisée, plus interpersonnelle, mais nullement moins structurée : celle que l’on désigne, avec toutes les précautions nécessaires, comme régime féodal. Il faut ici se garder de deux simplifications symétriques : y voir soit une simple anarchie post-impériale, soit au contraire un système parfaitement unifié. Ce qui importe pour notre enquête est moins la querelle terminologique que la logique régulatrice effectivement à l’œuvre : un ordre dans lequel la co-viabilité se soutient par l’épaisseur des fidélités, par la mémoire des engagements, par la coutume localisée et par la ritualisation des dépendances.</w:t>
      </w:r>
    </w:p>
    <w:p>
      <w:pPr>
        <w:pStyle w:val="BodyText"/>
        <w:rPr/>
      </w:pPr>
      <w:r>
        <w:rPr/>
        <w:t>L’arcalité féodale ne repose ni sur une révélation fondatrice au sens strict, ni sur une normativité générale abstraitement formulée. Elle s’ancre dans des terres, des lignages, des titres, des généalogies, des gestes d’hommage, des emblèmes, des châteaux, des précédents, bref dans tout un monde où l’ancienneté reconnue, la visibilité des appartenances et la continuité des transmissions donnent au lien social sa consistance. Le fief, à cet égard, n’est pas seulement une unité économique ou militaire : il est une forme de fixation symbolique et matérielle de l’obligation. L’ordre se rend recevable parce qu’il est localisé, incarné et mémorisable.</w:t>
      </w:r>
    </w:p>
    <w:p>
      <w:pPr>
        <w:pStyle w:val="BodyText"/>
        <w:rPr/>
      </w:pPr>
      <w:r>
        <w:rPr/>
        <w:t>La cratialité se présente, quant à elle, sous une forme polycentrique. Elle ne procède pas d’un centre souverain unique, mais d’un enchevêtrement de puissances partielles : seigneurs, vassaux, évêques, abbés, princes, communautés urbaines, juridictions locales. Un même individu peut relever simultanément de plusieurs chaînes d’obligation, devoir service ici, conseil là, fidélité ailleurs. Cette pluralité n’est pas un accident du système ; elle en constitue l’un des principes de fonctionnement. Le pouvoir y est distribué, négocié, chevauchant, souvent conflictuel, mais néanmoins intelligible pour les acteurs parce qu’il s’inscrit dans une grammaire relativement stable de la dépendance réciproque, de la protection due et de l’honneur engagé.</w:t>
      </w:r>
    </w:p>
    <w:p>
      <w:pPr>
        <w:pStyle w:val="BodyText"/>
        <w:rPr/>
      </w:pPr>
      <w:r>
        <w:rPr/>
        <w:t>L’archicration féodale s’exerce principalement dans les scènes où ces liens sont formés, rappelés, éprouvés, contestés ou réajustés. Hommage, serment, conseil de pairs, justice seigneuriale, arbitrage, compensation, coutume rappelée : autant de dispositifs par lesquels la norme ne se présente pas d’abord comme un texte universel, mais comme une obligation située, rendue valide par la reconnaissance mutuelle et par une répétition socialement contrôlée. Ce n’est pas l’absence d’écriture qui caractérise ici le régime, mais le fait que l’écriture, lorsqu’elle apparaît, vienne le plus souvent seconder, consigner ou fixer des usages déjà tenus pour recevables. La normativité ne part pas du code ; elle remonte au précédent.</w:t>
      </w:r>
    </w:p>
    <w:p>
      <w:pPr>
        <w:pStyle w:val="BodyText"/>
        <w:rPr/>
      </w:pPr>
      <w:r>
        <w:rPr/>
        <w:t>C’est pourquoi les analyses de Marc Bloch demeurent ici décisives, même si elles doivent être relues à la lumière des correctifs apportés par Susan Reynolds ou Dominique Barthélemy. La féodalité n’est ni un bloc doctrinal parfaitement clos, ni une pure invention des juristes postérieurs ; elle désigne, pour nous, une famille de configurations dans lesquelles la régulation tient par la prévisibilité des engagements personnels, par la territorialisation des rapports d’autorité et par la capacité des communautés concernées à reconnaître ce qui vaut comme fidélité, manquement, réparation ou rupture légitime.</w:t>
      </w:r>
    </w:p>
    <w:p>
      <w:pPr>
        <w:pStyle w:val="BodyText"/>
        <w:rPr/>
      </w:pPr>
      <w:r>
        <w:rPr/>
        <w:t>Il faut enfin tenir ensemble la robustesse régulatrice de ce monde et sa violence constitutive. Le régime féodal n’abolit nullement le conflit ; il l’encadre à travers des formes spécifiques de guerre, de vengeance, de duel, de compensation ou de pacification. Les Paix de Dieu et Trêves de Dieu montrent bien que cette conflictualité n’est pas extérieure au système : elle en est l’un des éléments à canaliser, non à supprimer. La féodalité ne produit donc ni un ordre pacifié ni une confusion anarchique ; elle institue une co-viabilité stratifiée, fortement inégalitaire, mais durable, où la règle tient moins à son universalité qu’à la reconnaissance localement partagée de ce que chacun doit à chacun selon son rang, son lien et sa terre.</w:t>
      </w:r>
    </w:p>
    <w:p>
      <w:pPr>
        <w:pStyle w:val="BodyText"/>
        <w:rPr/>
      </w:pPr>
      <w:r>
        <w:rPr/>
        <w:t>Le monde islamique médiéval constitue, lui aussi, l’un des grands cas de régulation archicratique non réductible au modèle étatique centralisé. Sa singularité ne tient pas à l’absence de pouvoir, mais à la manière dont la normativité s’y distribue entre révélation, tradition prophétique, élaboration savante et autorités politiques inégalement stabilisées. L’ordre n’y repose ni sur une Église constituée comme dans la chrétienté latine, ni sur une souveraineté législative pleinement autonome, mais sur une articulation dense entre texte révélé, interprétation autorisée et mise en pratique communautaire.</w:t>
      </w:r>
    </w:p>
    <w:p>
      <w:pPr>
        <w:pStyle w:val="BodyText"/>
        <w:rPr/>
      </w:pPr>
      <w:r>
        <w:rPr/>
        <w:t>L’arcalité y est d’abord scripturo-prophétique. Le Coran, la Sunna et la mémoire normative du Prophète forment une source de fondation qui ne vaut pas seulement comme référence spirituelle, mais comme principe d’orientation du monde humain. Toutefois, cette arcalité ne se réduit pas à la simple présence d’un texte sacré : elle passe par tout un travail de transmission, de sélection, de hiérarchisation et de validation des sources. Le fondement n’est donc jamais brut ; il est médié par une culture savante de l’autorité textuelle, du commentaire et de la chaîne de transmission.</w:t>
      </w:r>
    </w:p>
    <w:p>
      <w:pPr>
        <w:pStyle w:val="BodyText"/>
        <w:rPr/>
      </w:pPr>
      <w:r>
        <w:rPr/>
        <w:t>La cratialité, quant à elle, se présente sous une forme double et structurellement tendue. D’un côté, les détenteurs du pouvoir politique — califes, sultans, émirs, gouverneurs — exercent des fonctions d’administration, de commandement, de prélèvement et de police de l’ordre. De l’autre, les ʿulamāʾ, fuqahāʾ, muftīs et qāḍīs concentrent une autorité normative qui ne se laisse pas purement absorber par le pouvoir princier. Il en résulte une distribution complexe de la puissance : ni théocratie unifiée, ni séparation nette du politique et du normatif, mais une configuration où la légitimité du pouvoir dépend étroitement de son rapport à une normativité savamment élaborée qu’il ne maîtrise jamais absolument.</w:t>
      </w:r>
    </w:p>
    <w:p>
      <w:pPr>
        <w:pStyle w:val="BodyText"/>
        <w:rPr/>
      </w:pPr>
      <w:r>
        <w:rPr/>
        <w:t>C’est dans l’archicration que ce régime donne toute sa mesure. La production de la règle n’y procède pas prioritairement d’un acte législatif souverain, mais d’une activité interprétative réglée : élaboration du fiqh, hiérarchisation des sources, usage du qiyās, référence à l’ijmāʿ, consultation juridique, fatwā, jugement, enseignement. La norme s’y stabilise par des opérations herméneutiques et pédagogiques qui la rendent à la fois transmissible, discutable dans certaines limites, et socialement opérante. L’ordre n’est donc pas simplement imposé ; il est sans cesse reconduit par une culture de l’interprétation autorisée.</w:t>
      </w:r>
    </w:p>
    <w:p>
      <w:pPr>
        <w:pStyle w:val="BodyText"/>
        <w:rPr/>
      </w:pPr>
      <w:r>
        <w:rPr/>
        <w:t>Cette puissance régulatrice est considérable. Elle permet de produire de la cohérence normative à grande échelle sans recourir nécessairement à une centralisation politique absolue. Mais elle n’est nullement exempte d’asymétries. L’accès à l’interprétation légitime demeure fortement hiérarchisé ; les statuts de sexe, de confession, de savoir et de position sociale pèsent lourdement sur la distribution effective des capacités de parole et de qualification. Le pluralisme des écoles juridiques ne doit donc pas être idéalisé : il constitue une forme de différenciation régulée, non une égalité générale d’accès à la normativité.</w:t>
      </w:r>
    </w:p>
    <w:p>
      <w:pPr>
        <w:pStyle w:val="BodyText"/>
        <w:rPr/>
      </w:pPr>
      <w:r>
        <w:rPr/>
        <w:t>Ce régime nous importe ainsi pour une raison précise : il montre qu’une co-viabilité hautement structurée peut se soutenir sans monopole étatique intégral, à partir d’une articulation puissante entre révélation, science juridique et validation communautaire. L’islam classique n’offre pas un dehors exotique à notre typologie ; il en constitue l’une des expressions les plus rigoureuses, où l’archicration prend la forme d’une élaboration savante de la norme sous fondement prophétique, avec toute la force mais aussi toutes les limites d’un tel montage.</w:t>
      </w:r>
    </w:p>
    <w:p>
      <w:pPr>
        <w:pStyle w:val="BodyText"/>
        <w:rPr/>
      </w:pPr>
      <w:r>
        <w:rPr/>
        <w:t>Dans un registre encore différent, les empires ouest-africains médiévaux — notamment le Manden Kurufa (Empire du Mali) et l’Empire Songhaï — donnent à voir une configuration archicratique dans laquelle la normativité ne repose ni sur une codification écrite dominante, ni sur une centralisation bureaucratique étatique, mais sur une articulation structurée entre mémoire, parole et médiation.</w:t>
      </w:r>
    </w:p>
    <w:p>
      <w:pPr>
        <w:pStyle w:val="BodyText"/>
        <w:rPr/>
      </w:pPr>
      <w:r>
        <w:rPr/>
        <w:t>L’arcalité y est fondamentalement mémorielle et lignagère. Elle se forme dans les récits d’origine, les généalogies, les épopées, les proverbes et les savoirs transmis par les détenteurs autorisés de la parole, en particulier les djeliw. Cette mémoire n’est pas un simple dépôt du passé : elle constitue une réserve normative active, à partir de laquelle les situations présentes peuvent être qualifiées, comparées et orientées. Le fondement n’est donc pas fixé dans un texte clos, mais maintenu dans une tradition vivante, structurée et socialement reconnue.</w:t>
      </w:r>
    </w:p>
    <w:p>
      <w:pPr>
        <w:pStyle w:val="BodyText"/>
        <w:rPr/>
      </w:pPr>
      <w:r>
        <w:rPr/>
        <w:t>La cratialité se distribue selon une logique polycentrique. Le pouvoir ne s’y concentre pas dans une instance unique : souverains, chefs lignagers, autorités religieuses, responsables de marché et conseils de sages participent, selon des configurations variables, à la régulation des situations. Cette pluralité n’implique pas absence d’ordre, mais organisation de la complémentarité et de la hiérarchisation des rôles. L’autorité y est relationnelle, indexée à la position, à l’ancienneté, à la compétence reconnue et à la capacité de médiation.</w:t>
      </w:r>
    </w:p>
    <w:p>
      <w:pPr>
        <w:pStyle w:val="BodyText"/>
        <w:rPr/>
      </w:pPr>
      <w:r>
        <w:rPr/>
        <w:t>L’archicration s’exerce principalement à travers des dispositifs oraux et performatifs : palabres, arbitrages collectifs, serments, compensations, exclusions symboliques. La norme n’y apparaît pas comme une règle abstraite préalablement fixée, mais comme le résultat d’un processus de mise en accord, inscrit dans des formes ritualisées de parole et de décision. La régulation vise moins à sanctionner qu’à rétablir des équilibres, en réinscrivant les conflits dans un horizon de continuité du lien social.</w:t>
      </w:r>
    </w:p>
    <w:p>
      <w:pPr>
        <w:pStyle w:val="BodyText"/>
        <w:rPr/>
      </w:pPr>
      <w:r>
        <w:rPr/>
        <w:t>Une telle configuration présente une cohérence propre et une efficacité réelle : elle permet de produire de la co-viabilité sans recourir à une formalisation juridique systématique ni à un appareil étatique centralisé. Mais elle demeure traversée par des hiérarchies fortes et des asymétries de position. La maîtrise de la parole légitime, l’accès à la mémoire autorisée et la capacité de médiation constituent des ressources de pouvoir inégalement distribuées. Loin d’être un espace d’indifférenciation, ce régime articule étroitement normativité partagée et stratification sociale.</w:t>
      </w:r>
    </w:p>
    <w:p>
      <w:pPr>
        <w:pStyle w:val="BodyText"/>
        <w:rPr/>
      </w:pPr>
      <w:r>
        <w:rPr/>
        <w:t>Ces formations ouest-africaines montrent ainsi qu’une archicration pleinement opérante peut se déployer à partir d’une mémoire instituée, d’une parole réglée et d’une médiation collective, sans dépendre prioritairement ni de l’écriture juridique, ni d’une souveraineté centralisée. Elles constituent, à ce titre, l’une des expressions les plus nettes d’une archicration médiévale fondée sur la mémoire instituée et la médiation collective.</w:t>
      </w:r>
    </w:p>
    <w:p>
      <w:pPr>
        <w:pStyle w:val="BodyText"/>
        <w:rPr/>
      </w:pPr>
      <w:r>
        <w:rPr/>
        <w:t>Au terme de ce parcours, les régimes religieux et suzerains médiévaux apparaissent moins comme des formes inachevées de l’État que comme des compositions archicratiques pleinement consistantes, fondées sur d’autres principes de régulation. La co-viabilité y est portée non par l’unification d’un centre souverain, mais par l’entrecroisement de médiations théologiques, coutumières, lignagères, savantes ou rituelles, chacune articulant à sa manière fondement, autorité et scène d’épreuve.</w:t>
      </w:r>
    </w:p>
    <w:p>
      <w:pPr>
        <w:pStyle w:val="BodyText"/>
        <w:rPr/>
      </w:pPr>
      <w:r>
        <w:rPr/>
        <w:t>La Chrétienté latine, la féodalité européenne, l’islam classique et les empires ouest-africains médiévaux ne relèvent donc pas d’un même modèle. Tous donnent pourtant à voir une même propriété structurale : l’ordre peut se maintenir sans publicité civique généralisée ni codification étatique unifiée, dès lors qu’existent des formes reconnues de légitimation, des autorités capables de les porter et des scènes où les tensions peuvent être traitées sans dissoudre l’ensemble. Ce qui varie, ce n’est pas l’existence d’une régulation, mais la manière dont elle se laisse fonder, distribuer et rejouer.</w:t>
      </w:r>
    </w:p>
    <w:p>
      <w:pPr>
        <w:pStyle w:val="BodyText"/>
        <w:rPr/>
      </w:pPr>
      <w:r>
        <w:rPr/>
        <w:t>L’apport décisif du Moyen Âge, dans la perspective qui est la nôtre, est précisément là. Il montre que la normativité peut tenir par la révélation, par la fidélité personnelle, par la mémoire coutumière, par l’interprétation savante ou par la médiation réparatrice, sans passer d’abord par la forme moderne de la loi souveraine. Ces mondes ne sont ni pré-politiques ni infra-régulés ; ils configurent autrement la scène archicratique, en la rendant plus segmentée, plus stratifiée, plus incarnée, parfois plus diffuse, mais nullement moins opérante.</w:t>
      </w:r>
    </w:p>
    <w:p>
      <w:pPr>
        <w:pStyle w:val="BodyText"/>
        <w:rPr/>
      </w:pPr>
      <w:r>
        <w:rPr/>
        <w:t>Un tableau de synthèse de ces grandes configurations médiévales est présenté en annexe. La transition vers les monarchies renaissantes ne devra pas être pensée comme le simple dépassement de ces formes, mais comme une reconfiguration profonde de leurs équilibres. Avec la centralisation monarchique, la montée de l’État dynastique et la systématisation croissante des appareils de commandement, un autre agencement se met en place : non plus la pluralité dense des médiations religieuses, féodales ou coutumières, mais la tentative de les capter, de les hiérarchiser et de les intégrer dans une nouvelle architecture de souveraineté. C’est cette mutation qu’examine la sous-section suivante.</w:t>
      </w:r>
    </w:p>
    <w:p>
      <w:pPr>
        <w:pStyle w:val="Heading3"/>
        <w:numPr>
          <w:ilvl w:val="2"/>
          <w:numId w:val="2"/>
        </w:numPr>
        <w:rPr/>
      </w:pPr>
      <w:r>
        <w:rPr/>
        <w:t>2.3.3 — Régimes monarchiques renaissants : centralisation, sacralisation et rationalisation du pouvoir</w:t>
      </w:r>
    </w:p>
    <w:p>
      <w:pPr>
        <w:pStyle w:val="BodyText"/>
        <w:rPr/>
      </w:pPr>
      <w:r>
        <w:rPr/>
        <w:t>Le moment monarchique renaissant ne doit pas être compris comme le simple renforcement quantitatif de l’autorité royale. Il désigne une reconfiguration plus profonde de la co-viabilité politique, dans laquelle l’ordre cesse d’être principalement porté par l’entrelacs médiéval des médiations féodales, ecclésiales et coutumières pour se recentrer autour d’un principe de souveraineté de plus en plus unifié. Ce qui se transforme alors n’est pas seulement la puissance du roi, mais le statut même de la norme, la scène de son énonciation et les conditions de son effectuation.</w:t>
      </w:r>
    </w:p>
    <w:p>
      <w:pPr>
        <w:pStyle w:val="BodyText"/>
        <w:rPr/>
      </w:pPr>
      <w:r>
        <w:rPr/>
        <w:t>Il serait toutefois simplificateur de lire cette mutation comme l’avènement immédiat d’un État moderne pleinement formé. Les monarchies des XVe et XVIe siècles composent encore avec des héritages médiévaux puissants, des résistances territoriales, des privilèges, des juridictions concurrentes et des légitimités entremêlées. Mais elles introduisent un déplacement décisif : l’ordre tend désormais à se fonder moins sur la pluralité des appartenances que sur la capacité d’un centre souverain à produire, hiérarchiser, diffuser et faire exécuter la règle.</w:t>
      </w:r>
    </w:p>
    <w:p>
      <w:pPr>
        <w:pStyle w:val="BodyText"/>
        <w:rPr/>
      </w:pPr>
      <w:r>
        <w:rPr/>
        <w:t>Dans cette inflexion, trois mouvements doivent être tenus ensemble. D’abord, une concentration nouvelle de l’arcalité autour de la figure royale, qui devient moins garante d’un ordre reçu que principe d’un ordre à produire. Ensuite, une consolidation de la cratialité, par laquelle la puissance cesse d’être seulement segmentée ou négociée pour se doter d’appareils plus continus de commandement, de prélèvement, de contrôle et de relais. Enfin, une rationalisation croissante de l’archicration, portée par l’essor des écritures administratives, de l’imprimé, de la formalisation juridique et des premières techniques d’encadrement.</w:t>
      </w:r>
    </w:p>
    <w:p>
      <w:pPr>
        <w:pStyle w:val="BodyText"/>
        <w:rPr/>
      </w:pPr>
      <w:r>
        <w:rPr/>
        <w:t>C’est en ce sens qu’il faut lire les monarchies renaissantes : non comme la simple survivance augmentée de la royauté médiévale, mais comme une configuration archicratique nouvelle, dans laquelle la souveraineté tend à devenir à la fois fondement, opérateur et scène d’intelligibilité de l’ordre. Machiavel, Bodin et Hobbes ne seront donc pas ici convoqués comme trois penseurs isolés, mais comme les témoins doctrinaux d’un même déplacement historique : celui par lequel la régulation se détache progressivement de la coutume, de la seule légitimation théologique ou du tissu féodal des obligations pour s’adosser à un centre de décision plus abstrait, plus continu et plus producteur de normativité.</w:t>
      </w:r>
    </w:p>
    <w:p>
      <w:pPr>
        <w:pStyle w:val="BodyText"/>
        <w:rPr/>
      </w:pPr>
      <w:r>
        <w:rPr/>
        <w:t>Avec les monarchies renaissantes, l’arcalité subit un déplacement décisif. Elle ne disparaît pas dans un pur arbitraire du commandement, mais cesse de se distribuer principalement entre coutumes, lignages, autorités ecclésiales, privilèges territoriaux et précédents féodaux. Elle tend à se condenser dans une instance de plus en plus unificatrice : la souveraineté monarchique, entendue non plus seulement comme dignité éminente ou primauté d’honneur, mais comme capacité de donner forme à l’ordre depuis un centre de décision supérieur.</w:t>
      </w:r>
    </w:p>
    <w:p>
      <w:pPr>
        <w:pStyle w:val="BodyText"/>
        <w:rPr/>
      </w:pPr>
      <w:r>
        <w:rPr/>
        <w:t>Ce déplacement ne doit pas être caricaturé comme une simple substitution brutale du roi à tous les autres fondements. Les monarchies renaissantes continuent de composer avec des traditions, des droits acquis, des corps intermédiaires et des justifications religieuses puissantes. Mais le point essentiel est ailleurs : ces éléments cessent progressivement d’apparaître comme les sources ultimes de validité de l’ordre. Ils sont de plus en plus réinscrits dans une architecture où la couronne tend à se présenter comme l’instance qui les confirme, les hiérarchise, les arbitre ou les suspend.</w:t>
      </w:r>
    </w:p>
    <w:p>
      <w:pPr>
        <w:pStyle w:val="BodyText"/>
        <w:rPr/>
      </w:pPr>
      <w:r>
        <w:rPr/>
        <w:t>C’est en ce sens que Bodin marque un seuil théorique majeur. Dans Les Six Livres de la République, la souveraineté n’est pas simplement décrite comme un fait de suprématie ; elle est pensée comme puissance absolue et perpétuelle, c’est-à-dire comme principe de non-dérivation du pouvoir politique suprême. L’importance du geste bodinien tient à ceci : il ne se contente pas de renforcer le roi ; il redéfinit le lieu du fondement. L’ordre politique n’a plus à être garanti en dernier ressort par la dispersion des fidélités, par la seule ancienneté coutumière ou par l’enchâssement des juridictions ; il trouve désormais son unité dans une puissance capable de dire la loi au-dessus des parties.</w:t>
      </w:r>
    </w:p>
    <w:p>
      <w:pPr>
        <w:pStyle w:val="BodyText"/>
        <w:rPr/>
      </w:pPr>
      <w:r>
        <w:rPr/>
        <w:t>Une telle arcalité n’est pas encore pleinement désacralisée. Elle conserve des appuis théologiques, symboliques et cérémoniels décisifs ; elle continue de mobiliser la majesté, l’onction, la représentation du corps royal et tout un appareil de visibilité hiérarchique. Mais son originalité renaissante tient précisément à la combinaison de cette sacralité résiduelle avec une logique croissante d’unification juridique et politique. Le roi ne vaut plus seulement comme image terrestre d’un ordre supérieur ; il tend à devenir l’instance à partir de laquelle l’ordre reçoit sa cohérence proprement politique.</w:t>
      </w:r>
    </w:p>
    <w:p>
      <w:pPr>
        <w:pStyle w:val="BodyText"/>
        <w:rPr/>
      </w:pPr>
      <w:r>
        <w:rPr/>
        <w:t>C’est pourquoi l’arcalité monarchique renaissante doit être dite à la fois incarnée et productive. Incarnée, parce qu’elle se concentre dans une personne, dans un corps, dans une majesté rendue visible par les rites, les emblèmes, les entrées, les liturgies de cour et les dispositifs de représentation. Productive, parce que cette incarnation ne se borne plus à protéger ou à refléter un ordre reçu : elle tend à devenir le point générateur d’une normativité nouvelle, susceptible de recomposer les hiérarchies, d’intégrer les médiations anciennes et de donner à l’ensemble politique une unité plus abstraite qu’auparavant.</w:t>
      </w:r>
    </w:p>
    <w:p>
      <w:pPr>
        <w:pStyle w:val="BodyText"/>
        <w:rPr/>
      </w:pPr>
      <w:r>
        <w:rPr/>
        <w:t>En ce sens, la monarchie renaissante n’invente pas seulement une figure plus forte du pouvoir ; elle transforme le statut du fondement lui-même. Là où le monde médiéval faisait largement tenir l’ordre par l’épaisseur des liens, des appartenances et des autorités emboîtées, le moment monarchique tend à poser qu’il faut, au sommet, une instance capable de ramener cette pluralité à une source de validité supérieure. L’arcalité se recentre donc moins sur la personne privée du roi que sur la fonction souveraine comme lieu d’unification de l’ordre.</w:t>
      </w:r>
    </w:p>
    <w:p>
      <w:pPr>
        <w:pStyle w:val="BodyText"/>
        <w:rPr/>
      </w:pPr>
      <w:r>
        <w:rPr/>
        <w:t>Avec le moment monarchique renaissant, la cratialité cesse progressivement d’être dominée par la dispersion féodale des puissances, par la simple superposition des dépendances personnelles ou par l’équilibre toujours précaire entre juridictions concurrentes. Elle tend à se concentrer dans des chaînes de commandement plus continues, dans des relais administratifs plus stables et dans des dispositifs d’intervention qui donnent au centre souverain une prise plus constante sur le territoire, sur les populations et sur les conduites.</w:t>
      </w:r>
    </w:p>
    <w:p>
      <w:pPr>
        <w:pStyle w:val="BodyText"/>
        <w:rPr/>
      </w:pPr>
      <w:r>
        <w:rPr/>
        <w:t>Ce déplacement ne signifie pas que toute puissance devienne soudain homogène ou parfaitement unifiée. Les monarchies renaissantes demeurent travaillées par les privilèges, les résistances locales, les corps intermédiaires, les autonomies urbaines et les héritages seigneuriaux. Mais la dynamique est nette : le pouvoir cherche de plus en plus à se rendre moins occasionnel, moins purement cérémoniel, moins dépendant des seules fidélités interpersonnelles. Il tend à devenir continu, relayé, cumulatif.</w:t>
      </w:r>
    </w:p>
    <w:p>
      <w:pPr>
        <w:pStyle w:val="BodyText"/>
        <w:rPr/>
      </w:pPr>
      <w:r>
        <w:rPr/>
        <w:t>Machiavel formule avec une acuité singulière l’une des dimensions décisives de cette mutation. Avec lui, la puissance cesse d’être pensée d’abord sous l’horizon du juste ou du licite ; elle est rapportée à la question de sa conservation, de son efficacité et de sa capacité à gouverner l’instabilité. Le Prince ne vaut pas parce qu’il incarnerait un bien supérieur, mais parce qu’il sait faire face à la contingence, manier la crainte, distribuer les signes de fermeté et produire des effets durables d’obéissance. La cratialité est ici stratégique : elle repose sur l’art de rendre le pouvoir opérant dans un monde mouvant, conflictuel et exposé à la fortune.</w:t>
      </w:r>
    </w:p>
    <w:p>
      <w:pPr>
        <w:pStyle w:val="BodyText"/>
        <w:rPr/>
      </w:pPr>
      <w:r>
        <w:rPr/>
        <w:t>Hobbes radicalise le problème sur un autre plan. Là où Machiavel pense surtout les conditions de maintien du pouvoir, Hobbes reformule la nécessité même d’une puissance supérieure à partir de la peur de la dissolution violente. La cratialité n’est plus seulement la capacité du prince à durer ; elle devient condition anthropologico-politique d’un ordre possible. Le souverain n’est pas là pour parfaire moralement la communauté, mais pour empêcher que la conflictualité humaine ne retourne à la guerre diffuse. La puissance prend dès lors une signification plus abstraite, plus systématique : elle doit être suffisamment concentrée pour rendre l’ordre plus redoutable que le chaos.</w:t>
      </w:r>
    </w:p>
    <w:p>
      <w:pPr>
        <w:pStyle w:val="BodyText"/>
        <w:rPr/>
      </w:pPr>
      <w:r>
        <w:rPr/>
        <w:t>Mais cette mutation doctrinale ne prend réellement corps qu’à travers des dispositifs matériels et administratifs. C’est là que la cratialité monarchique acquiert sa portée historique propre. Armées permanentes, fiscalités plus régulières, intendances, réseaux d’officiers, circulation des ordres, enregistrement des décisions, contrôle des marchés, surveillance urbaine, police naissante : autant d’instruments par lesquels le pouvoir cesse d’être seulement sommet symbolique pour devenir capacité d’action relayée.</w:t>
      </w:r>
    </w:p>
    <w:p>
      <w:pPr>
        <w:pStyle w:val="BodyText"/>
        <w:rPr/>
      </w:pPr>
      <w:r>
        <w:rPr/>
        <w:t>Il faut être précis ici. La police des monarchies classiques n’est pas encore la police au sens contemporain restreint ; elle désigne bien plus largement un ensemble de techniques d’administration de la cité, de surveillance des désordres, de gestion des circulations, de classement des populations et d’encadrement des comportements. Ce que l’on voit émerger, c’est une cratialité qui ne se contente plus de punir ou de trancher après coup, mais qui cherche à prévenir, à répartir, à ordonner en amont. Le pouvoir devient moins spectaculaire, mais plus constant dans sa présence.</w:t>
      </w:r>
    </w:p>
    <w:p>
      <w:pPr>
        <w:pStyle w:val="BodyText"/>
        <w:rPr/>
      </w:pPr>
      <w:r>
        <w:rPr/>
        <w:t>Cette évolution donne à la puissance monarchique une forme nouvelle. Elle reste verticale dans son principe, puisqu’elle se réclame d’un centre souverain ; mais elle devient réticulaire dans ses vecteurs, parce qu’elle ne peut plus agir sans relais, sans bureaux, sans écritures, sans agents, sans procédures. La force ne disparaît pas ; elle change d’économie. Elle n’est plus seulement démonstration de majesté ou irruption punitive : elle devient aussi suivi des conduites, administration des hommes, capacité de faire circuler l’ordre dans les mailles du royaume.</w:t>
      </w:r>
    </w:p>
    <w:p>
      <w:pPr>
        <w:pStyle w:val="BodyText"/>
        <w:rPr/>
      </w:pPr>
      <w:r>
        <w:rPr/>
        <w:t>C’est pourquoi la cratialité monarchique renaissante doit être dite à la fois centralisatrice et distributive. Centralisatrice, parce qu’elle cherche à rapporter la puissance à un principe supérieur d’unification. Distributive, parce qu’elle ne devient réellement efficace qu’en se relayant à travers une multitude d’agents, de fonctions et de procédures. Elle prépare ainsi un seuil décisif de l’histoire de la régulation : celui d’un pouvoir qui ne règne pleinement qu’en devenant administration.</w:t>
      </w:r>
    </w:p>
    <w:p>
      <w:pPr>
        <w:pStyle w:val="BodyText"/>
        <w:rPr/>
      </w:pPr>
      <w:r>
        <w:rPr/>
        <w:t>Le moment monarchique renaissant transforme enfin en profondeur la scène même de l’archicration. La règle n’y vaut plus principalement par l’ancienneté de l’usage, par la seule autorité de la coutume ou par l’épaisseur d’une médiation religieuse ; elle tend de plus en plus à s’imposer comme norme formulée, publiée, stabilisée et rendue opposable dans des formes relativement homogènes. L’obligation ne disparaît pas dans l’arbitraire du commandement ; elle se fixe dans des procédures d’énonciation, de circulation et de consignation qui donnent à la régulation une lisibilité nouvelle.</w:t>
      </w:r>
    </w:p>
    <w:p>
      <w:pPr>
        <w:pStyle w:val="BodyText"/>
        <w:rPr/>
      </w:pPr>
      <w:r>
        <w:rPr/>
        <w:t>L’imprimerie joue ici un rôle décisif, non comme cause unique, mais comme opérateur de transformation. Elle ne crée pas à elle seule la normativité monarchique ; elle en modifie toutefois profondément la portée en permettant une diffusion plus régulière, une stabilisation relative des textes et une meilleure reproductibilité des actes. Édits, ordonnances, déclarations, recueils, commentaires et compilations peuvent désormais circuler sous des formes moins instables, ce qui accroît la capacité du pouvoir à rendre la règle plus présente, plus reconnaissable et plus durable à l’échelle du royaume.</w:t>
      </w:r>
    </w:p>
    <w:p>
      <w:pPr>
        <w:pStyle w:val="BodyText"/>
        <w:rPr/>
      </w:pPr>
      <w:r>
        <w:rPr/>
        <w:t>Ce point doit être tenu avec précision. L’écrit existait bien avant l’imprimé, et la normativité médiévale connaissait déjà des formes savantes de consignation, de compilation et de commentaire. Ce qui change ici, c’est moins l’existence de la textualité que son régime d’effectuation. La norme tend à devenir plus uniformément identifiable, plus aisément transmissible et plus susceptible d’être invoquée comme telle. Elle gagne en fixité apparente, en continuité matérielle et en possibilité de contrôle.</w:t>
      </w:r>
    </w:p>
    <w:p>
      <w:pPr>
        <w:pStyle w:val="BodyText"/>
        <w:rPr/>
      </w:pPr>
      <w:r>
        <w:rPr/>
        <w:t>L’archicration monarchique se rationalise ainsi par la convergence de plusieurs opérations. D’une part, la règle est davantage formulée dans une langue d’autorité qui cherche l’unité, la généralité et la continuité. D’autre part, elle est relayée par des pratiques d’enregistrement, d’archivage, de publication et de vérification qui en soutiennent l’effectivité. Enfin, elle est de plus en plus pensée comme expression d’une compétence souveraine à ordonner le monde politique, et non comme simple rappel d’un ordre antérieur.</w:t>
      </w:r>
    </w:p>
    <w:p>
      <w:pPr>
        <w:pStyle w:val="BodyText"/>
        <w:rPr/>
      </w:pPr>
      <w:r>
        <w:rPr/>
        <w:t>C’est en ce sens qu’il faut parler ici de positivation croissante de la règle. La loi tend à valoir moins par son inscription dans une tradition sacrée ou coutumière que par son énonciation autorisée dans un cadre souverain. Il ne s’agit pas encore d’un positivisme juridique au sens strict ni d’un système formel pleinement clos ; mais le mouvement est décisif. La norme devient davantage liée à la procédure qui la produit, à la forme qui la stabilise et à l’appareil qui la fait exister socialement.</w:t>
      </w:r>
    </w:p>
    <w:p>
      <w:pPr>
        <w:pStyle w:val="BodyText"/>
        <w:rPr/>
      </w:pPr>
      <w:r>
        <w:rPr/>
        <w:t>Hobbes, sur ce point, formule un seuil doctrinal d’une grande puissance. La loi n’y apparaît plus comme simple traduction d’une justice substantielle antérieure ; elle procède de l’autorité de celui qui a charge de maintenir l’ordre commun. L’intérêt d’un tel geste, pour notre analyse, n’est pas d’annoncer mécaniquement toutes les théories juridiques ultérieures, mais de rendre pensable une archicration dans laquelle la validité de la règle se détache progressivement de ses anciennes garanties théologiques ou coutumières pour se rapporter de plus en plus à la structure de son institution.</w:t>
      </w:r>
    </w:p>
    <w:p>
      <w:pPr>
        <w:pStyle w:val="BodyText"/>
        <w:rPr/>
      </w:pPr>
      <w:r>
        <w:rPr/>
        <w:t>Il en résulte une transformation profonde du rapport entre pouvoir et normativité. La règle ne se contente plus de surplomber l’action ; elle entre dans les pratiques de gouvernement elles-mêmes. Elle organise les statuts, classe les situations, homogénéise certaines procédures, rend possibles des comparaisons et des rappels d’une manière auparavant plus difficile. La co-viabilité se trouve alors prise dans un monde où la norme n’est pas seulement énoncée ; elle est matérialisée, relayée, reprise et inscrite dans une chaîne de médiations qui la rendent plus constante.</w:t>
      </w:r>
    </w:p>
    <w:p>
      <w:pPr>
        <w:pStyle w:val="BodyText"/>
        <w:rPr/>
      </w:pPr>
      <w:r>
        <w:rPr/>
        <w:t>C’est cette convergence entre formalisation de la règle, capacité de publication et prise administrative sur les situations qui donne à l’archicration monarchique renaissante sa forme propre. Elle n’est plus principalement liturgique comme dans la chrétienté médiévale, ni principalement coutumière comme dans les mondes féodo-seigneuriaux ; elle tend à devenir textuellement stabilisée, procéduralement soutenue et politiquement rapportée à un centre souverain d’énonciation.</w:t>
      </w:r>
    </w:p>
    <w:p>
      <w:pPr>
        <w:pStyle w:val="BodyText"/>
        <w:rPr/>
      </w:pPr>
      <w:r>
        <w:rPr/>
        <w:t>Le régime monarchique renaissant ne s’arrête pas à son moment d’émergence doctrinale. Il se prolonge, se densifie et se transforme dans les absolutismes classiques, où la centralisation souveraine, déjà amorcée, cherche à se donner une stabilité supérieure. Ce second moment n’invente pas un autre régime ; il pousse plus loin la logique déjà engagée : celle d’un ordre de plus en plus rapporté à un centre d’énonciation unique, relayé par des appareils de commandement, d’enregistrement et d’exécution plus serrés.</w:t>
      </w:r>
    </w:p>
    <w:p>
      <w:pPr>
        <w:pStyle w:val="BodyText"/>
        <w:rPr/>
      </w:pPr>
      <w:r>
        <w:rPr/>
        <w:t>Dans cette phase, la figure royale tend à concentrer en elle bien davantage qu’une fonction d’arbitrage suprême. Elle devient le foyer à partir duquel la cohérence de l’ensemble doit se rendre visible, légitime et praticable. La majesté monarchique ne vaut plus seulement comme signe de prééminence ; elle soutient une prétention plus lourde : faire tenir l’unité politique en réduisant l’autonomie relative des médiations anciennes, en hiérarchisant les corps et en intégrant plus fermement les circuits de pouvoir à la couronne.</w:t>
      </w:r>
    </w:p>
    <w:p>
      <w:pPr>
        <w:pStyle w:val="BodyText"/>
        <w:rPr/>
      </w:pPr>
      <w:r>
        <w:rPr/>
        <w:t>La cratialité s’épaissit alors à travers des dispositifs plus suivis d’administration, de prélèvement, de surveillance et de gouvernement. Ce qui, à la Renaissance, apparaissait encore comme tendance ou comme expérimentation devient plus systématique : développement des offices, renforcement des intendances, stabilisation fiscale, armées plus permanentes, police plus régulière, contrôle plus attentif des flux, des populations et des conduites. L’ordre monarchique gagne en continuité, mais cette continuité a un prix : elle exige davantage d’écritures, davantage de relais, davantage de procédures, et donc une extension croissante des points de friction entre le centre et le corps social.</w:t>
      </w:r>
    </w:p>
    <w:p>
      <w:pPr>
        <w:pStyle w:val="BodyText"/>
        <w:rPr/>
      </w:pPr>
      <w:r>
        <w:rPr/>
        <w:t>L’archicration elle-même se resserre. Elle ne disparaît pas, mais elle tend à être captée par des formes de validation plus étroitement contrôlées. Les marges de reprise de la règle subsistent — remontrances, résistances locales, négociations fiscales, conflits de juridiction, révoltes — mais elles sont de plus en plus réinscrites dans un dispositif qui cherche moins à reconnaître le dissensus comme moment constitutif qu’à le requalifier comme perturbation à absorber. L’ordre monarchique absolu ne se contente pas de produire la norme ; il tend à monopoliser les conditions mêmes de sa reformulation.</w:t>
      </w:r>
    </w:p>
    <w:p>
      <w:pPr>
        <w:pStyle w:val="BodyText"/>
        <w:rPr/>
      </w:pPr>
      <w:r>
        <w:rPr/>
        <w:t>C’est ici que se loge sa force, mais aussi sa fragilité. En centralisant fortement l’arcalité, en densifiant la cratialité et en resserrant l’archicration, le régime monarchique gagne en puissance d’unification ; mais il risque aussi d’appauvrir les médiations qui rendaient l’ordre social plus respirable, plus négociable et plus relayé par des scènes secondaires de régulation. À mesure qu’il prétend ramener l’ensemble à une cohérence plus ferme, il rend plus visibles les coûts de cette cohérence : surcharge normative, saturation administrative, rigidification des hiérarchies, extension des résistances passives ou ouvertes.</w:t>
      </w:r>
    </w:p>
    <w:p>
      <w:pPr>
        <w:pStyle w:val="BodyText"/>
        <w:rPr/>
      </w:pPr>
      <w:r>
        <w:rPr/>
        <w:t>La critique moderne de l’absolutisme naît dans cet espace de tension. Elle ne surgit pas d’un refus simple de toute régulation, mais d’une contestation de sa monopolisation. Ce qui devient de moins en moins supportable, ce n’est pas l’existence de la norme en tant que telle ; c’est sa captation par une source unique, son opacité croissante, l’asymétrie entre l’unification des obligations et la faiblesse des scènes légitimes de reprise. Les pensées des Lumières, les théories de la séparation des pouvoirs, les doctrines de la souveraineté nationale ou populaire se déploieront sur ce fond : non pour abolir l’exigence d’ordre, mais pour en déplacer le centre de gravité et en redistribuer les conditions de légitimité.</w:t>
      </w:r>
    </w:p>
    <w:p>
      <w:pPr>
        <w:pStyle w:val="BodyText"/>
        <w:rPr/>
      </w:pPr>
      <w:r>
        <w:rPr/>
        <w:t>En ce sens, les monarchies renaissantes et absolutistes occupent une place décisive dans notre généalogie. Elles ne sont pas seulement un moment de transition entre féodalité et modernité politique ; elles constituent un seuil archicratique propre, où l’ordre devient plus explicitement produit, plus massivement relayé, plus techniquement soutenu et plus étroitement rapporté à une souveraineté de centralisation. Elles montrent jusqu’à quel point une société peut chercher à faire tenir ensemble fondement, puissance et régulation dans l’unité d’un même centre — et à partir de quel point cette réussite même prépare une crise de ses propres conditions de recevabilité.</w:t>
      </w:r>
    </w:p>
    <w:p>
      <w:pPr>
        <w:pStyle w:val="BodyText"/>
        <w:rPr/>
      </w:pPr>
      <w:r>
        <w:rPr/>
        <w:t>La sous-section suivante s’ouvrira précisément sur cette crise transformatrice. Car les régimes modernes ne naîtront pas contre toute archicration, mais à partir d’une redistribution de ses lieux, de ses justifications et de ses procédures. Ce qui se déplace alors, ce n’est pas la nécessité de réguler, mais la scène à partir de laquelle la règle peut prétendre valoir : non plus principalement le corps du roi, mais des formes nouvelles de publicité, de représentation, d’administration et de légitimation politique.</w:t>
      </w:r>
    </w:p>
    <w:p>
      <w:pPr>
        <w:pStyle w:val="Heading3"/>
        <w:numPr>
          <w:ilvl w:val="2"/>
          <w:numId w:val="2"/>
        </w:numPr>
        <w:rPr/>
      </w:pPr>
      <w:r>
        <w:rPr/>
        <w:t>2.3.4 — Régimes disciplinaires et industriels (XIXe siècle) : codification, institutionnalisation, extériorisation</w:t>
      </w:r>
    </w:p>
    <w:p>
      <w:pPr>
        <w:pStyle w:val="BodyText"/>
        <w:rPr/>
      </w:pPr>
      <w:r>
        <w:rPr/>
        <w:t>Le XIXe siècle marque une inflexion majeure dans l’histoire des régimes de co-viabilité. L’ordre n’y repose plus principalement sur la centralité visible d’une souveraineté incarnée, ni sur la seule autorité de la loi proclamée, ni sur l’épaisseur coutumière de médiations héritées. Il tend de plus en plus à se soutenir par des institutions, des dispositifs d’encadrement, des procédures répétitives et des environnements réglés qui organisent les conduites en amont même de leur formulation explicite. Ce qui se transforme alors n’est pas seulement l’intensité de la régulation, mais sa texture : la norme cesse d’apparaître d’abord comme commandement pour se déployer comme milieu.</w:t>
      </w:r>
    </w:p>
    <w:p>
      <w:pPr>
        <w:pStyle w:val="BodyText"/>
        <w:rPr/>
      </w:pPr>
      <w:r>
        <w:rPr/>
        <w:t>Cette mutation ne doit pas être simplifiée en une substitution pure et simple de l’institution à la souveraineté. Le XIXe siècle ne fait pas disparaître l’État, la loi ou le commandement ; il les relaie et les prolonge à travers des formes d’encadrement plus fines, plus continues et plus incorporées. École, caserne, hôpital, prison, atelier, administration, empire colonial : autant de scènes où l’ordre se reproduit désormais par distribution des places, surveillance des trajectoires, séquençage des temps, normalisation des gestes, classement des aptitudes et correction des écarts.</w:t>
      </w:r>
    </w:p>
    <w:p>
      <w:pPr>
        <w:pStyle w:val="BodyText"/>
        <w:rPr/>
      </w:pPr>
      <w:r>
        <w:rPr/>
        <w:t>En ce sens, le XIXe siècle ne constitue pas seulement un âge disciplinaire au sens descriptif. Il ouvre un moment où l’archicration devient de plus en plus objectivée. L’arcalité se dépose dans des architectures, des rythmes, des procédures et des cadres matériels de conduite ; la cratialité se distribue dans des chaînes d’agents, d’experts, de surveillants, de contremaîtres, d’inspecteurs ou de gestionnaires ; l’archicration s’exerce dans les opérations mêmes par lesquelles les comportements sont observés, comparés, mesurés, corrigés et rendus conformes.</w:t>
      </w:r>
    </w:p>
    <w:p>
      <w:pPr>
        <w:pStyle w:val="BodyText"/>
        <w:rPr/>
      </w:pPr>
      <w:r>
        <w:rPr/>
        <w:t>Il faut toutefois tenir ensemble plusieurs dimensions de ce moment. D’un côté, les régimes disciplinaires et industriels approfondissent la technicisation de la régulation dans les sociétés européennes et nord-atlantiques. De l’autre, ils s’étendent à l’échelle impériale, où cette normativité se projette sous des formes dissymétriques et hiérarchisées. Enfin, ils rencontrent aussi des contre-formes de co-viabilité — ouvrières, communautaires, autochtones — qui ne relèvent ni d’une simple survivance archaïque ni d’une réaction marginale, mais d’autres manières de tenir ensemble la vie collective.</w:t>
      </w:r>
    </w:p>
    <w:p>
      <w:pPr>
        <w:pStyle w:val="BodyText"/>
        <w:rPr/>
      </w:pPr>
      <w:r>
        <w:rPr/>
        <w:t>La présente sous-section examinera donc le XIXe siècle non comme un bloc uniforme, mais comme un champ d’intensification archicratique où se combinent trois mouvements : institutionnalisation disciplinaire des conduites, objectivation industrielle de la norme et extension coloniale de dispositifs régulateurs profondément asymétriques. C’est à partir de cette triple dynamique que devient lisible la spécificité du moment : une co-viabilité de plus en plus produite par l’agencement des cadres, des rythmes, des fonctions et des classifications.</w:t>
      </w:r>
    </w:p>
    <w:p>
      <w:pPr>
        <w:pStyle w:val="BodyText"/>
        <w:rPr/>
      </w:pPr>
      <w:r>
        <w:rPr/>
        <w:t>Au XIXe siècle, le cœur disciplinaire de l’ordre se déploie dans une série d’institutions qui ont pour trait commun de faire tenir les conduites moins par proclamation que par leur organisation concrète. L’école, la caserne, l’hôpital et la prison ne doivent pas être appréhendés comme de simples lieux spécialisés ; ils constituent des matrices où s’expérimente une même logique de co-viabilité par encadrement continu, répartition des corps, séquençage des temps et correction des écarts.</w:t>
      </w:r>
    </w:p>
    <w:p>
      <w:pPr>
        <w:pStyle w:val="BodyText"/>
        <w:rPr/>
      </w:pPr>
      <w:r>
        <w:rPr/>
        <w:t>Ce qui les rapproche n’est pas leur finalité, mais la forme de leur opérativité. Chacune institue un espace fermé ou semi-fermé, un rythme réglé, une distribution précise des positions, une hiérarchie de surveillance, un appareillage d’écriture ou de notation, et une capacité de sanction ou de réajustement. L’ordre n’y procède plus principalement d’une adhésion explicite à un fondement supérieur ; il se soutient par la répétition de pratiques qui rendent certains comportements attendus, d’autres déviants, d’autres encore mesurables et perfectibles.</w:t>
      </w:r>
    </w:p>
    <w:p>
      <w:pPr>
        <w:pStyle w:val="BodyText"/>
        <w:rPr/>
      </w:pPr>
      <w:r>
        <w:rPr/>
        <w:t>L’école offre l’une des figures les plus lisibles de cette mutation. Ce qui y régule n’est pas seulement le contenu des savoirs transmis, mais la forme scolaire elle-même : salle ordonnée, temps découpé, alternance du silence et de la parole autorisée, exercices répétés, devoirs, classements, inspections, examens. L’arcalité s’y dépose dans un cadre spatial et scripturaire qui rend l’apprentissage inséparable d’une discipline du corps et de l’attention. La cratialité s’exerce à travers l’enseignant, l’inspecteur, le règlement et toute une économie de l’évaluation. Quant à l’archicration, elle réside dans les opérations par lesquelles l’élève est continuellement situé, comparé, repris et orienté selon une norme de progression. L’école n’instruit pas seulement : elle produit aussi de la recevabilité sociale.</w:t>
      </w:r>
    </w:p>
    <w:p>
      <w:pPr>
        <w:pStyle w:val="BodyText"/>
        <w:rPr/>
      </w:pPr>
      <w:r>
        <w:rPr/>
        <w:t>La caserne pousse cette logique jusqu’à une intensité particulière. Là, le corps doit devenir immédiatement disponible, coordonnable, alignable. L’apprentissage militaire ne consiste pas seulement à transmettre une compétence de combat ; il organise une disposition intégrale du geste, de la posture, du déplacement, de la réponse à l’ordre. La répétition, la cadence, le drill, la hiérarchie visible, la sanction rapide et la précision des commandements composent une scène où la conformité vaut d’abord comme synchronisation du corps avec une chaîne de puissance. L’arcalité y est inscrite dans l’uniformité réglée des places et des mouvements ; la cratialité se manifeste dans la verticalité des grades ; l’archicration opère dans les exercices mêmes, qui convertissent l’obéissance en réflexe et la coordination en seconde nature.</w:t>
      </w:r>
    </w:p>
    <w:p>
      <w:pPr>
        <w:pStyle w:val="BodyText"/>
        <w:rPr/>
      </w:pPr>
      <w:r>
        <w:rPr/>
        <w:t>L’hôpital moderne constitue une autre scène décisive de cette reconfiguration. Il ne s’agit plus seulement d’y recueillir ou d’y assister les malades, mais d’y organiser un espace d’observation, de classement, de traitement et de surveillance où le corps devient lisible à travers des catégories, des dossiers, des diagnostics et des protocoles. Ce qui s’y impose n’est pas d’abord une autorité spectaculaire du médecin, mais un régime de visibilité médicale qui distribue les positions, qualifie les symptômes et ordonne les interventions. L’arcalité se loge dans le dispositif clinique lui-même, dans la possibilité de faire apparaître le corps comme cas intelligible ; la cratialité se distribue entre médecins, internes, surveillants et administration hospitalière ; l’archicration se déploie dans la chaîne des observations, prescriptions, examens et révisions qui rendent le patient gouvernable comme sujet de soin et comme objet de normalisation.</w:t>
      </w:r>
    </w:p>
    <w:p>
      <w:pPr>
        <w:pStyle w:val="BodyText"/>
        <w:rPr/>
      </w:pPr>
      <w:r>
        <w:rPr/>
        <w:t>La prison, enfin, fait apparaître avec une particulière netteté la logique disciplinaire du siècle. Le châtiment n’y vise plus principalement l’exposition publique de la peine ; il tend à devenir enfermement réglé, découpage des temps, isolement, travail imposé, surveillance continue, notation des conduites. L’ordre carcéral organise un monde où chaque déplacement, chaque parole, chaque manquement peut être observé, enregistré et interprété. L’arcalité est alors profondément spatialisée : plan de détention, séparation des corps, circulation contrôlée. La cratialité prend la forme d’une surveillance hiérarchisée et procédurale. L’archicration réside dans l’ensemble des opérations qui visent non seulement à contenir, mais aussi à reconfigurer le détenu selon une norme de conduite.</w:t>
      </w:r>
    </w:p>
    <w:p>
      <w:pPr>
        <w:pStyle w:val="BodyText"/>
        <w:rPr/>
      </w:pPr>
      <w:r>
        <w:rPr/>
        <w:t>À travers ces quatre figures, un même seuil devient visible. La régulation ne s’exerce plus prioritairement sur des sujets abstraits de droit, ni sur des fidélités personnelles, ni sur des appartenances reçues ; elle prend appui sur des corps situés, sur des comportements répétables, sur des écarts mesurables, sur des trajectoires rectifiables. Le pouvoir disciplinaire ne parle pas moins que les régimes antérieurs, mais il agit surtout en configurant des scènes dans lesquelles les conduites deviennent comparables, corrigibles et intégrables dans un ordre plus vaste.</w:t>
      </w:r>
    </w:p>
    <w:p>
      <w:pPr>
        <w:pStyle w:val="BodyText"/>
        <w:rPr/>
      </w:pPr>
      <w:r>
        <w:rPr/>
        <w:t>Il faut toutefois éviter toute simplification. Ces institutions ne se réduisent pas à une essence unique, et leurs finalités demeurent distinctes : instruire, soigner, punir, former au combat. Mais ce qui les relie dans notre analyse est décisif : elles rendent manifeste une archicration où la norme cesse de se présenter d’abord comme principe déclaré pour se déposer dans l’agencement même des situations. Le XIXe siècle disciplinaire fait ainsi apparaître une régulation où le milieu institutionnel devient lui-même opérateur de co-viabilité.</w:t>
      </w:r>
    </w:p>
    <w:p>
      <w:pPr>
        <w:pStyle w:val="BodyText"/>
        <w:rPr/>
      </w:pPr>
      <w:r>
        <w:rPr/>
        <w:t>L’usine industrielle du XIXe siècle constitue toutefois une matrice archicratique spécifique, qu’il faut distinguer des autres institutions disciplinaires sans l’en séparer absolument. Elle ne se contente pas d’enfermer ou de surveiller ; elle organise la co-viabilité à partir de l’exigence productive elle-même. Ce qui y régule n’est pas seulement la conduite des corps, mais leur insertion dans un schéma opératoire orienté vers le rendement, la continuité de l’exécution et la coordination des fonctions.</w:t>
      </w:r>
    </w:p>
    <w:p>
      <w:pPr>
        <w:pStyle w:val="BodyText"/>
        <w:rPr/>
      </w:pPr>
      <w:r>
        <w:rPr/>
        <w:t>L’arcalité industrielle ne repose plus principalement sur un rang hérité, sur une appartenance civique ou sur une vocation morale. Elle tend à se fixer dans l’ordre fonctionnel de la production : poste, tâche, séquence, rendement, utilité assignée. Le travailleur vaut d’abord comme occupant d’une place dans une chaîne d’opérations qui le dépasse. L’espace de l’usine, la répartition des ateliers, la division des gestes, la dépendance aux cadences de la machine ou de l’ensemble productif constituent ici moins un simple décor qu’un principe de fondation pratique. L’ordre devient recevable parce qu’il se présente comme nécessité de fonctionnement.</w:t>
      </w:r>
    </w:p>
    <w:p>
      <w:pPr>
        <w:pStyle w:val="BodyText"/>
        <w:rPr/>
      </w:pPr>
      <w:r>
        <w:rPr/>
        <w:t>La cratialité, dans ce cadre, est fortement relayée. Elle ne procède pas seulement du propriétaire ou du directeur, mais de toute une hiérarchie intermédiaire de contremaîtres, chefs d’atelier, surveillants et commis, chargés de traduire l’impératif productif en injonctions concrètes. Leur pouvoir n’a rien d’abstrait : il se manifeste dans l’assignation des postes, le rappel à la cadence, la sanction des retards, le contrôle du geste, l’évaluation du rendement, la menace du renvoi ou du déclassement. Cette cratialité n’est pas encore bureaucratique au sens pleinement stabilisé qu’elle prendra plus tard, mais elle n’est déjà plus purement personnelle : elle est fonctionnelle, situationnelle, incorporée à l’organisation même du travail.</w:t>
      </w:r>
    </w:p>
    <w:p>
      <w:pPr>
        <w:pStyle w:val="BodyText"/>
        <w:rPr/>
      </w:pPr>
      <w:r>
        <w:rPr/>
        <w:t>L’archicration industrielle s’exerce alors dans la manière dont la norme se trouve inscrite dans le milieu productif lui-même. Le temps n’y est pas seulement compté ; il devient exigence d’ajustement. Le geste n’y est pas seulement accompli ; il est rapporté à une séquence, à une attente, à une performance. La présence, l’absence, la lenteur, la maladresse, l’indiscipline deviennent lisibles à travers des procédures simples mais constantes : horaires, consignes, contrôles, rémunérations différenciées, retenues, primes, rythmes imposés. La règle n’a pas besoin d’être sans cesse proclamée, parce qu’elle s’objective dans l’enchaînement des opérations et dans les conséquences immédiates de l’écart.</w:t>
      </w:r>
    </w:p>
    <w:p>
      <w:pPr>
        <w:pStyle w:val="BodyText"/>
        <w:rPr/>
      </w:pPr>
      <w:r>
        <w:rPr/>
        <w:t>Il faut ici introduire un point décisif : l’usine n’est pas seulement régulée depuis l’extérieur par la loi ou par l’État ; elle tend à produire son propre monde normatif. L’ordre industriel n’exige pas seulement l’obéissance ; il fabrique une forme d’évidence pratique dans laquelle il devient naturel que chacun soit à sa place, à son heure, dans son rôle, selon son rendement attendu. C’est en ce sens que Marx peut montrer que la domination capitaliste ne passe pas uniquement par l’appropriation économique du travail, mais par une organisation matérielle et temporelle où le travail vivant se trouve de plus en plus subordonné à une logique abstraite de valorisation.</w:t>
      </w:r>
    </w:p>
    <w:p>
      <w:pPr>
        <w:pStyle w:val="BodyText"/>
        <w:rPr/>
      </w:pPr>
      <w:r>
        <w:rPr/>
        <w:t>Mais cette archicration industrielle ne peut être pleinement comprise si l’on ignore la figure qui en soutient encore largement l’arcalité : celle du patron. Au XIXe siècle, surtout avant la dissociation plus poussée entre propriété et direction, le propriétaire-capitaliste ne se réduit pas à un détenteur anonyme de capital. Il apparaît souvent comme le principe visible d’ordonnancement de l’univers productif : celui qui fixe les règles, distribue les places, légitime les hiérarchies, décide des rythmes et prétend parfois donner à l’ensemble une cohérence morale. L’arcalité patronale ne procède ni d’une transcendance ni d’un mandat public ; elle se fonde sur la propriété comme titre à organiser le monde du travail.</w:t>
      </w:r>
    </w:p>
    <w:p>
      <w:pPr>
        <w:pStyle w:val="BodyText"/>
        <w:rPr/>
      </w:pPr>
      <w:r>
        <w:rPr/>
        <w:t>Cette dimension apparaît avec une particulière netteté dans les configurations paternalistes. Logements ouvriers, écoles d’entreprise, dispensaires, coopératives, œuvres sociales, fêtes patronales : autant de dispositifs par lesquels le pouvoir industriel excède le strict atelier pour prétendre encadrer la vie sociale elle-même. Le patron n’y est pas qu’un chef de production ; il tend à se poser en garant d’un ordre global, à la fois économique, moral et spatial. La régulation devient alors plus profonde : elle ne vise plus seulement la conformité du travail, mais la stabilisation d’une fidélité, d’une dépendance, d’une adhésion pratique à un monde organisé autour de l’entreprise.</w:t>
      </w:r>
    </w:p>
    <w:p>
      <w:pPr>
        <w:pStyle w:val="BodyText"/>
        <w:rPr/>
      </w:pPr>
      <w:r>
        <w:rPr/>
        <w:t>Il faut cependant éviter deux erreurs symétriques. La première consisterait à réduire l’usine à une simple extension du disciplinaire scolaire, carcéral ou militaire. La seconde serait d’y voir déjà le management scientifique pleinement formalisé du XXe siècle. Le XIXe siècle industriel occupe une position intermédiaire, mais décisive : la norme y est déjà fortement objectivée dans des dispositifs matériels et dans des hiérarchies fonctionnelles, sans que la rationalisation taylorienne ait encore entièrement décomposé le travail en protocoles abstraits d’optimisation.</w:t>
      </w:r>
    </w:p>
    <w:p>
      <w:pPr>
        <w:pStyle w:val="BodyText"/>
        <w:rPr/>
      </w:pPr>
      <w:r>
        <w:rPr/>
        <w:t>C’est pourquoi l’usine industrielle doit être lue comme une scène propre d’archicration : non plus principalement fondée sur la proclamation explicite de la règle, mais sur l’incorporation progressive d’une normativité de rendement, de présence, de cadence et de fonctionnalité. L’ordre n’y passe plus prioritairement par le prestige d’une figure, ni par l’ancienneté d’une coutume, ni même par la seule menace de la sanction ; il se stabilise dans un milieu où l’efficacité productive devient elle-même principe de recevabilité des conduites.</w:t>
      </w:r>
    </w:p>
    <w:p>
      <w:pPr>
        <w:pStyle w:val="BodyText"/>
        <w:rPr/>
      </w:pPr>
      <w:r>
        <w:rPr/>
        <w:t>Mais le XIXe siècle disciplinaire et industriel ne peut être compris à partir des seuls espaces métropolitains. Il est aussi le moment où les puissances européennes projettent hors d’elles-mêmes leurs formes de régulation, en les réagençant dans des dispositifs coloniaux profondément dissymétriques. L’ordre n’y vise pas d’abord la co-viabilité entre partenaires reconnus comme équivalents ; il s’établit sur une hiérarchisation radicale des statuts, des droits, des savoirs et des formes de vie.</w:t>
      </w:r>
    </w:p>
    <w:p>
      <w:pPr>
        <w:pStyle w:val="BodyText"/>
        <w:rPr/>
      </w:pPr>
      <w:r>
        <w:rPr/>
        <w:t>L’arcalité coloniale repose sur une prétention de supériorité civilisationnelle, juridique et morale par laquelle la métropole se donne comme centre légitime de la norme. Cette prétention ne se réduit pas à une idéologie extérieure au dispositif ; elle en constitue l’un des fondements opératoires. Elle autorise la requalification des sociétés dominées comme espaces à corriger, à administrer, à instruire ou à exploiter. Le droit, l’école, la mission, le recensement, la carte, l’impôt, l’encadrement du travail et la distinction statutaire concourent ici à une même opération : rendre les populations colonisées gouvernables à partir de catégories produites ailleurs.</w:t>
      </w:r>
    </w:p>
    <w:p>
      <w:pPr>
        <w:pStyle w:val="BodyText"/>
        <w:rPr/>
      </w:pPr>
      <w:r>
        <w:rPr/>
        <w:t>La cratialité coloniale se déploie, quant à elle, dans une articulation serrée entre coercition militaire, administration territoriale, hiérarchies raciales et médiations locales subordonnées. Gouverneurs, commandants de cercle, auxiliaires indigènes, juges coloniaux, missionnaires, instituteurs, chefs reconnus ou fabriqués composent une chaîne de pouvoir dont l’efficacité tient précisément à cette combinaison de violence, de savoir et de délégation inégale. Loin d’être un simple supplément extérieur du régime moderne, le colonial en radicalise certains traits : classification des populations, segmentation des droits, traitement différentiel des mobilités, surveillance des croyances et des usages.</w:t>
      </w:r>
    </w:p>
    <w:p>
      <w:pPr>
        <w:pStyle w:val="BodyText"/>
        <w:rPr/>
      </w:pPr>
      <w:r>
        <w:rPr/>
        <w:t>L’archicration coloniale prend alors la forme d’une normativité d’exception devenue ordinaire. Codes particuliers, statuts différenciés, régimes juridiques inégaux, traductions sélectives des coutumes, reconnaissance intéressée de certaines autorités locales : l’ordre colonial ne se contente pas d’étendre la règle européenne ; il la fracture et la redouble. Il produit une co-viabilité asymétrique, dans laquelle la régulation ne vaut pas de manière homogène pour tous, mais organise au contraire une inégalité structurelle des scènes de recevabilité.</w:t>
      </w:r>
    </w:p>
    <w:p>
      <w:pPr>
        <w:pStyle w:val="BodyText"/>
        <w:rPr/>
      </w:pPr>
      <w:r>
        <w:rPr/>
        <w:t>Il faut cependant tenir ensemble domination coloniale et persistance d’autres grammaires de régulation. Les sociétés soumises ne se réduisent jamais complètement à l’ordre qui les encadre. Des formes autochtones, communautaires ou rituelles de co-viabilité subsistent, se recomposent, se déplacent ou se durcissent au contact même de la domination. Elles ne doivent pas être traitées comme de simples survivances folkloriques, mais comme des régimes effectifs, capables de maintenir des autorités, des mémoires, des procédures de décision et des horizons de légitimité irréductibles à la norme coloniale.</w:t>
      </w:r>
    </w:p>
    <w:p>
      <w:pPr>
        <w:pStyle w:val="BodyText"/>
        <w:rPr/>
      </w:pPr>
      <w:r>
        <w:rPr/>
        <w:t>Dans certains cas, cette persistance prend la forme d’une continuité communautaire : maintien de procédures orales, d’autorités tournantes, de régulations lignagères, de temporalités rituelles, de rapports cosmologiques au territoire. Dans d’autres, elle se traduit par des reconfigurations plus nouvelles : solidarités ouvrières, syndicats, mutuelles, formes de contre-institutionnalisation par lesquelles des groupes subalternes élaborent leurs propres scènes de coordination, de revendication et de discipline collective. Le XIXe siècle ne se réduit donc pas à l’universalisation d’un modèle unique ; il est aussi le lieu d’une confrontation entre plusieurs manières de rendre l’ordre pensable et praticable.</w:t>
      </w:r>
    </w:p>
    <w:p>
      <w:pPr>
        <w:pStyle w:val="BodyText"/>
        <w:rPr/>
      </w:pPr>
      <w:r>
        <w:rPr/>
        <w:t>C’est ici qu’apparaît la pluralité archicratique propre au siècle. D’un côté, une normativité objectivée, institutionnelle, industrielle et impériale, portée par l’État, l’entreprise et l’administration. De l’autre, des formes de régulation qui continuent de faire tenir la vie collective à partir de mémoires partagées, de récits, de rituels, d’accords communautaires ou de contre-organisations émergentes. L’intérêt de ce contraste n’est pas d’opposer mécaniquement modernité et tradition, centre et périphérie, domination et authenticité. Il est de montrer que le XIXe siècle constitue une scène d’intensification conflictuelle entre régimes archicratiques hétérogènes, irréductibles les uns aux autres.</w:t>
      </w:r>
    </w:p>
    <w:p>
      <w:pPr>
        <w:pStyle w:val="BodyText"/>
        <w:rPr/>
      </w:pPr>
      <w:r>
        <w:rPr/>
        <w:t>Ce déplacement affecte les trois vecteurs à la fois. L’arcalité tend à s’objectiver dans des milieux réglés — scolaires, militaires, hospitaliers, pénitentiaires, industriels ou coloniaux — qui donnent à l’ordre une assise plus impersonnelle. La cratialité se distribue dans des chaînes d’agents, de surveillants, de contremaîtres, d’inspecteurs, de fonctionnaires et d’administrateurs, dont la puissance tient moins au prestige personnel qu’à leur position dans un dispositif. L’archicration, enfin, s’exerce dans les opérations mêmes par lesquelles les corps, les temps, les écarts et les performances deviennent observables, comparables et rectifiables.</w:t>
      </w:r>
    </w:p>
    <w:p>
      <w:pPr>
        <w:pStyle w:val="BodyText"/>
        <w:rPr/>
      </w:pPr>
      <w:r>
        <w:rPr/>
        <w:t>La nouveauté du siècle ne réside donc pas seulement dans l’intensification de la discipline, mais dans la généralisation d’une régulation par agencement. L’ordre se soutient moins par proclamation que par environnement, moins par rappel du fondement que par organisation concrète des situations. Ce basculement vaut aussi bien pour les institutions métropolitaines que pour les projections coloniales du pouvoir, où la normativité moderne se durcit en hiérarchie asymétrique et en administration différentielle des existences.</w:t>
      </w:r>
    </w:p>
    <w:p>
      <w:pPr>
        <w:pStyle w:val="BodyText"/>
        <w:rPr/>
      </w:pPr>
      <w:r>
        <w:rPr/>
        <w:t>Mais ce moment n’installe pas un régime univoque. À côté de cette objectivation croissante de la norme persistent, se recomposent ou émergent d’autres formes de co-viabilité : communautés, mémoires, contre-organisations, scènes de médiation et de revendication qui rappellent qu’aucun ordre disciplinaire n’absorbe jamais toute la pluralité des régimes de régulation. Le XIXe siècle doit ainsi être lu moins comme le triomphe simple d’une forme que comme l’intensification d’un conflit entre plusieurs grammaires archicratiques du lien collectif.</w:t>
      </w:r>
    </w:p>
    <w:p>
      <w:pPr>
        <w:pStyle w:val="BodyText"/>
        <w:rPr/>
      </w:pPr>
      <w:r>
        <w:rPr/>
        <w:t>C’est ce qui en fait un moment charnière pour notre enquête. En objectivant la règle dans des dispositifs de plus en plus continus, le XIXe siècle prépare les formes ultérieures de saturation normative, d’administration étendue et de gouvernement des populations. Mais il en laisse aussi paraître la contrepartie : fragilisation croissante des médiations, extension des asymétries et conflictualité nouvelle autour des conditions mêmes de la recevabilité sociale. La sous-section suivante examinera cette radicalisation au XXe siècle, lorsque la régulation tendra, selon des voies distinctes, à se totaliser dans les régimes de masse, les appareils bureaucratiques et les technologies politiques du vivant.</w:t>
      </w:r>
    </w:p>
    <w:p>
      <w:pPr>
        <w:pStyle w:val="Heading3"/>
        <w:numPr>
          <w:ilvl w:val="2"/>
          <w:numId w:val="2"/>
        </w:numPr>
        <w:rPr/>
      </w:pPr>
      <w:r>
        <w:rPr/>
        <w:t>2.3.5 — Régimes totalitaires : saturation normative, violence systémique, subjectivation totale</w:t>
      </w:r>
    </w:p>
    <w:p>
      <w:pPr>
        <w:pStyle w:val="BodyText"/>
        <w:rPr/>
      </w:pPr>
      <w:r>
        <w:rPr/>
        <w:t>Les régimes totalitaires du XXe siècle constituent un seuil singulier dans l’histoire des formes de régulation. Ils ne constituent ni un simple durcissement de l’autorité classique, ni une dictature portée à son point extrême, ni même la seule radicalisation des dispositifs disciplinaires apparus au siècle précédent. Ils engagent une transformation plus profonde : la tentative de faire d’un principe unique de légitimation la matrice d’organisation de l’ensemble du monde social, et d’étendre cette emprise jusqu’aux conditions mêmes dans lesquelles une existence peut être dite recevable, pensable, exprimable et vécue.</w:t>
      </w:r>
    </w:p>
    <w:p>
      <w:pPr>
        <w:pStyle w:val="BodyText"/>
        <w:rPr/>
      </w:pPr>
      <w:r>
        <w:rPr/>
        <w:t>C’est pourquoi le totalitarisme ne peut être saisi adéquatement si l’on en reste soit à la seule phénoménologie de la terreur, soit à une typologie politique trop générale des régimes de domination. Il faut le ressaisir dans sa logique propre : comme une forme de pouvoir qui ne se satisfait ni de l’obéissance extérieure, ni de la simple discipline des comportements, ni de l’encadrement administratif des populations, et qui travaille à réduire autant que possible la distance entre ordre prescrit, ordre perçu et ordre vécu. Là réside sa singularité : non pas seulement imposer un commandement plus violent, mais tendre vers une configuration du monde dans laquelle tout dehors devienne suspect, toute réserve coûteuse, toute hétérogénéité progressivement irrecevable.</w:t>
      </w:r>
    </w:p>
    <w:p>
      <w:pPr>
        <w:pStyle w:val="BodyText"/>
        <w:rPr/>
      </w:pPr>
      <w:r>
        <w:rPr/>
        <w:t>Une telle configuration impose une discipline d’analyse particulière. La condamnation morale de ces régimes est évidemment nécessaire ; mais elle ne dispense pas d’en reconstruire la structure. Ce qu’il faut comprendre, ce n’est pas seulement l’ampleur de la violence qu’ils ont déployée, mais la manière dont ils sont parvenus à conférer à leur ordre la forme d’une totalité légitime, cohérente, apparemment indépassable. L’approche archicratique est ici décisive, parce qu’elle permet de décrire de manière articulée la condensation du fondement, la diffusion de la puissance et la fabrication des scènes dans lesquelles la norme devient sensible, partageable, incorporable, voire désirable.</w:t>
      </w:r>
    </w:p>
    <w:p>
      <w:pPr>
        <w:pStyle w:val="BodyText"/>
        <w:rPr/>
      </w:pPr>
      <w:r>
        <w:rPr/>
        <w:t>Le totalitarisme nous importe donc ici comme configuration-limite de la co-viabilité imposée. Il n’est pas seulement un excès de pouvoir ; il est une prétention à refermer l’espace même des possibles. Là où d’autres régimes maintiennent encore, malgré leur violence, une certaine pluralité de médiations, de traditions, de juridicités ou de scènes d’interprétation, les régimes totalitaires tendent au contraire à rabattre l’ensemble des existences sur un principe unique de vérité, d’appartenance et de conformité. Le problème n’y est plus simplement celui de l’obéissance ; il devient celui d’une mise en forme intégrale de la vie collective, jusque dans ses dimensions symboliques, affectives, perceptives et mémorielles.</w:t>
      </w:r>
    </w:p>
    <w:p>
      <w:pPr>
        <w:pStyle w:val="BodyText"/>
        <w:rPr/>
      </w:pPr>
      <w:r>
        <w:rPr/>
        <w:t>C’est en ce sens qu’ils doivent être lus comme une épreuve théorique majeure pour toute pensée de l’archicratie. Ils donnent à voir, sous une forme extrême, ce qui advient lorsque les trois vecteurs fondamentaux — arcalité, cratialité, archicration — cessent de se limiter, de se reprendre ou de se corriger mutuellement, et tendent au contraire à se renforcer dans un même mouvement de saturation. Le fondement se ferme, la puissance se diffuse, la norme investit les subjectivités, et l’ensemble du monde social se trouve travaillé par une logique de clôture qui ne tolère plus guère d’extériorité légitime.</w:t>
      </w:r>
    </w:p>
    <w:p>
      <w:pPr>
        <w:pStyle w:val="BodyText"/>
        <w:rPr/>
      </w:pPr>
      <w:r>
        <w:rPr/>
        <w:t>Le premier trait distinctif de ces régimes tient à la construction d’une arcalité saturante, c’est-à-dire d’un principe de fondation porté à un tel degré d’absolu qu’il tend à subordonner, absorber ou disqualifier toute autre source possible de validité. Là où d’autres ordres composent encore avec des traditions juridiques, religieuses, savantes ou coutumières qu’ils ne maîtrisent jamais complètement, le totalitarisme travaille à produire un foyer exclusif de légitimation, à partir duquel deviennent pensables l’appartenance, l’exclusion, la correction et l’élimination. Race, histoire, nation, révolution, peuple : ces mots n’y valent pas comme thèmes idéologiques parmi d’autres, mais comme opérateurs de totalisation.</w:t>
      </w:r>
    </w:p>
    <w:p>
      <w:pPr>
        <w:pStyle w:val="BodyText"/>
        <w:rPr/>
      </w:pPr>
      <w:r>
        <w:rPr/>
        <w:t>Il faut toutefois distinguer finement les formes de cette absolutisation. Dans le nazisme, le fondement est projeté dans une fiction biologique du collectif. Le peuple n’y est pas une communauté politique au sens fort, encore moins une pluralité de sujets liés par une loi ; il est pensé comme corps vivant, comme unité organique menacée de corruption, de mélange et de dégénérescence. L’arcalité ne s’y contente donc pas de légitimer l’ordre : elle le naturalise. Elle fait de l’appartenance une affaire de sang, de filiation, d’hérédité, et du pouvoir une fonction d’épuration. C’est pourquoi le Führer n’y apparaît pas comme simple gouvernant, mais comme point de concentration d’une vérité supposée vitale du peuple. Le nazisme ne fonde pas seulement un ordre politique ; il prétend reconduire l’existence collective à une loi biologique devenue critère suprême du réel.</w:t>
      </w:r>
    </w:p>
    <w:p>
      <w:pPr>
        <w:pStyle w:val="BodyText"/>
        <w:rPr/>
      </w:pPr>
      <w:r>
        <w:rPr/>
        <w:t>Le stalinisme procède autrement, mais avec une violence structurelle comparable. Le fondement n’y est pas recherché dans la nature, mais dans l’histoire ; non dans la pureté d’un corps, mais dans la nécessité d’un devenir. Le Parti se présente comme l’instance capable de lire le sens du processus historique, d’en interpréter les étapes, d’en qualifier les ennemis et d’en précipiter l’accomplissement. L’arcalité soviétique ne naturalise donc pas le monde ; elle l’historicise intégralement. Chaque événement, chaque retard, chaque résistance, chaque déviation peut y être réinscrit dans une téléologie générale dont le Parti détient seul la clé. Ce qui en résulte n’est pas une simple politisation de l’histoire, mais une captation du temps lui-même : le futur devient source de légitimation du présent, et la vérité du régime se mesure à sa prétention d’en connaître d’avance la direction nécessaire.</w:t>
      </w:r>
    </w:p>
    <w:p>
      <w:pPr>
        <w:pStyle w:val="BodyText"/>
        <w:rPr/>
      </w:pPr>
      <w:r>
        <w:rPr/>
        <w:t>Le fascisme italien occupe une position différente encore. Moins obsédé que le nazisme par la biologisation systématique, moins arrimé que le stalinisme à une téléologie historique totalisante, il travaille une arcalité du présent héroïsé. Son foyer de légitimation réside dans l’intensification liturgique de la Nation, dans la stylisation virile du commandement, dans la mise en scène d’une unité à faire sentir plutôt qu’à démontrer. Ici, le fondement ne s’impose pas d’abord comme loi de nature ou sens de l’histoire, mais comme évidence performée : celle d’un corps national qui ne doit pas tant être expliqué que célébré, rassemblé, exalté. Le fascisme produit ainsi une arcalité de l’incarnation spectaculaire, où le chef, la foule, les symboles et la mémoire impériale se renvoient mutuellement une légitimité nourrie d’émotion publique, d’esthétique politique et de théâtralité collective.</w:t>
      </w:r>
    </w:p>
    <w:p>
      <w:pPr>
        <w:pStyle w:val="BodyText"/>
        <w:rPr/>
      </w:pPr>
      <w:r>
        <w:rPr/>
        <w:t>Le maoïsme, enfin, introduit une torsion décisive dans ce paysage. Son arcalité ne se stabilise ni dans une essence raciale, ni dans une simple monumentalisation de la nation, ni même dans une téléologie historique aussi figée que celle du stalinisme tardif. Elle repose sur une logique de refondation continue, sur la mise en état de mobilisation permanente du corps politique. Le fondement y tient moins à une fixité qu’à une capacité de réouverture violente : rouvrir la révolution, rouvrir la lutte, rouvrir le procès de la pureté idéologique. Le chef y vaut comme point d’autorisation suprême de cette reprise incessante. C’est ce qui donne à l’arcalité maoïste sa tonalité propre : non la stabilité dogmatique d’un ordre une fois pour toutes posé, mais la sacralisation d’une instabilité tenue pour seule garantie de fidélité révolutionnaire.</w:t>
      </w:r>
    </w:p>
    <w:p>
      <w:pPr>
        <w:pStyle w:val="BodyText"/>
        <w:rPr/>
      </w:pPr>
      <w:r>
        <w:rPr/>
        <w:t>Ces quatre figures ne se confondent donc nullement. Le nazisme absolutise une appartenance biologique ; le stalinisme absolutise le sens de l’histoire ; le fascisme absolutise l’unité sensible de la nation ; le maoïsme absolutise la reprise révolutionnaire elle-même. Mais elles convergent en un point décisif : chacune porte un principe de légitimation à un degré tel qu’aucune altérité régulatrice ne peut plus subsister comme contrepoids recevable. Religion, juridicité indépendante, savoir savant autonome, mémoire dissidente, communauté partiellement extérieure : tout doit être absorbé, subordonné, ou dénoncé comme menace.</w:t>
      </w:r>
    </w:p>
    <w:p>
      <w:pPr>
        <w:pStyle w:val="BodyText"/>
        <w:rPr/>
      </w:pPr>
      <w:r>
        <w:rPr/>
        <w:t>C’est en cela que l’arcalité totalitaire excède la simple fonction de fondation. Elle ne se borne pas à justifier un ordre déjà là ; elle requalifie le réel dans son ensemble. Elle distribue les existences selon leur degré d’assimilabilité, autorise la mobilisation des conformes, la rectification des douteux, l’exclusion des hérétiques, l’élimination des inassimilables. Le fondement devient ainsi principe de tri ontologico-politique : non plus seulement ce à partir de quoi l’ordre se dit légitime, mais ce à partir de quoi il décide ce qui mérite encore d’appartenir au monde commun.</w:t>
      </w:r>
    </w:p>
    <w:p>
      <w:pPr>
        <w:pStyle w:val="BodyText"/>
        <w:rPr/>
      </w:pPr>
      <w:r>
        <w:rPr/>
        <w:t>La cratialité totalitaire ne doit pas être pensée comme simple concentration verticale de la puissance. Certes, le chef, le parti, la ligne idéologique forment le sommet visible du régime. Mais l’effectivité de celui-ci dépend d’autre chose : sa capacité à descendre, à se relayer, à se distribuer dans les épaisseurs ordinaires du social. Là réside sa redoutable efficacité. Le pouvoir n’y règne pas seulement depuis un centre ; il sédimente dans une multiplicité de relais qui, sans cesser de renvoyer au sommet, traduisent la norme en contrôle local, en vérification continue, en interventions de détail.</w:t>
      </w:r>
    </w:p>
    <w:p>
      <w:pPr>
        <w:pStyle w:val="BodyText"/>
        <w:rPr/>
      </w:pPr>
      <w:r>
        <w:rPr/>
        <w:t>Le premier ressort en est le monopole intégral du politique. Non au sens banal où un parti dominerait les autres, mais au sens plus profond où aucune institution ne peut plus prétendre exister selon sa logique propre. Syndicats, universités, presse, associations, professions, organisations de jeunesse, voisinage même : tout doit devenir organe, prolongement, capillarité du centre. Il ne s’agit donc pas simplement d’interdire l’autonomie ; il s’agit de dissoudre les conditions mêmes dans lesquelles elle pourrait se reformer. Une extériorité institutionnelle durable deviendrait aussitôt une menace.</w:t>
      </w:r>
    </w:p>
    <w:p>
      <w:pPr>
        <w:pStyle w:val="BodyText"/>
        <w:rPr/>
      </w:pPr>
      <w:r>
        <w:rPr/>
        <w:t>À cette absorption générale s’ajoute la puissance d’une bureaucratie qui n’a plus rien de neutre. Elle ne se borne pas à enregistrer ; elle qualifie. Dossiers individuels, autorisations, affectations, enquêtes, listes de surveillance, catégories administratives, contrôles de déplacement ou de travail : autant d’opérations qui ne se contentent pas de suivre les existences, mais les traduisent dans un langage traitable par le régime. L’individu cesse alors d’apparaître comme sujet irréductible ; il devient combinaison de signes, cas à suivre, profil à classer, trajectoire à orienter. Le pouvoir ne connaît jamais totalement les vies qu’il encadre, mais il les rend suffisamment lisibles pour les gouverner.</w:t>
      </w:r>
    </w:p>
    <w:p>
      <w:pPr>
        <w:pStyle w:val="BodyText"/>
        <w:rPr/>
      </w:pPr>
      <w:r>
        <w:rPr/>
        <w:t>De là naît un climat spécifique, qui n’est pas seulement celui de la peur, mais celui du soupçon. L’écart n’attend pas d’être pleinement manifeste pour devenir objet d’attention. Il se laisse pressentir dans une hésitation, un retard, une réserve, une fidélité tiède, un mot mal placé, une absence d’enthousiasme. Le régime ne surveille pas uniquement ce qui se fait ; il apprend à traquer ce qui pourrait ne pas s’aligner. Cette anticipation transforme l’incertitude sociale en milieu de vigilance généralisée. Nul n’est seulement surveillé par le sommet ; chacun devient, à des degrés variables, observateur, relais ou évaluateur d’autrui.</w:t>
      </w:r>
    </w:p>
    <w:p>
      <w:pPr>
        <w:pStyle w:val="BodyText"/>
        <w:rPr/>
      </w:pPr>
      <w:r>
        <w:rPr/>
        <w:t>L’archicration totalitaire prend alors le relais au plus intime. Elle ne consiste pas seulement à diffuser une doctrine. Elle travaille les conditions dans lesquelles la conformité devient sensible, presque naturelle. Le langage, ici, n’est pas un simple instrument de propagande. Il redécoupe le dicible. Les mots disponibles, les oppositions légitimes, les désignations de l’ennemi, les formules de fidélité, les tours obligés de l’adhésion resserrent progressivement l’espace dans lequel un écart pourrait être articulé. Quand la langue se raidit, le doute cesse d’être seulement dangereux : il devient plus difficile à former.</w:t>
      </w:r>
    </w:p>
    <w:p>
      <w:pPr>
        <w:pStyle w:val="BodyText"/>
        <w:rPr/>
      </w:pPr>
      <w:r>
        <w:rPr/>
        <w:t>Mais la langue seule n’emporte pas l’adhésion. Il faut encore des scènes. Défilés, serments, chants, cérémonies, séances d’autocritique, gestes codifiés de fidélité, rythmes collectifs : autant de formes par lesquelles l’ordre se donne non comme abstraction, mais comme expérience. Le corps y est requis, la voix sollicitée, l’émotion encadrée. La norme n’est plus seulement énoncée ; elle se fait atmosphère partagée. Elle devient visible, répétable, presque respirable.</w:t>
      </w:r>
    </w:p>
    <w:p>
      <w:pPr>
        <w:pStyle w:val="BodyText"/>
        <w:rPr/>
      </w:pPr>
      <w:r>
        <w:rPr/>
        <w:t>L’esthétique intervient ici avec une force singulière. Elle ne vient pas embellir le régime après coup ; elle participe de sa consistance même. Architecture monumentale, mise en scène du chef, symboles omniprésents, stylisation des corps, chorégraphie des foules : tout cela travaille à saturer le champ perceptif. Le monde n’est plus simplement administré ; il est organisé pour apparaître selon une grammaire unique du pur, du fort, de l’ordonné, du fidèle. Ce que l’image accomplit alors n’est pas de l’ordre du simple décor. Elle hiérarchise silencieusement le visible. Elle apprend à reconnaître les corps légitimes, les gestes conformes, les existences honorables — et, symétriquement, celles qui doivent être dégradées, exclues, effacées.</w:t>
      </w:r>
    </w:p>
    <w:p>
      <w:pPr>
        <w:pStyle w:val="BodyText"/>
        <w:rPr/>
      </w:pPr>
      <w:r>
        <w:rPr/>
        <w:t>Cette emprise gagne très tôt les jeunes générations. L’enfance n’est pas laissée en réserve ; elle devient terrain de captation. L’école, l’organisation de jeunesse, le récit héroïque, l’exercice collectif, la discipline du groupe, les modèles imposés forment un même continuum. Il ne s’agit pas seulement d’enseigner une doctrine à de futurs adultes, mais de produire précocement des réflexes d’appartenance, des habitudes affectives, un rapport déjà orienté au vrai, à l’ennemi, au sacrifice, au collectif. Former l’enfant, ici, c’est déjà disposer d’un relais de la norme.</w:t>
      </w:r>
    </w:p>
    <w:p>
      <w:pPr>
        <w:pStyle w:val="BodyText"/>
        <w:rPr/>
      </w:pPr>
      <w:r>
        <w:rPr/>
        <w:t>Le même geste vaut pour toute production autonome de sens. Écrivains, savants, artistes, enseignants ne sont tolérés qu’à condition d’entrer dans le rôle d’exégètes du dogme. Ce que le totalitarisme ne supporte pas, ce n’est pas seulement la dissidence ouverte. C’est la persistance de lieux où pourrait se former une autre scène d’interprétation. Une nuance déplacée, une ambiguïté maintenue, un silence trop lourd, un texte qui n’aligne pas ses évidences : il n’en faut pas davantage pour que surgisse le soupçon. Le régime ne veut pas seulement diffuser un sens officiel ; il veut empêcher qu’une autre configuration de lisibilité puisse tenir.</w:t>
      </w:r>
    </w:p>
    <w:p>
      <w:pPr>
        <w:pStyle w:val="BodyText"/>
        <w:rPr/>
      </w:pPr>
      <w:r>
        <w:rPr/>
        <w:t>Mais cette fabrication du conforme ne suffit pas encore. Il faut des infrastructures qui rendent une autre vie matériellement de plus en plus improbable. C’est ici qu’interviennent le camp, la presse unique, la radio contrôlée, l’édition surveillée, l’école recodée, le travail investi comme critère moral et politique, les procédures de classement qui transforment les existences en séries lisibles. Le camp, à l’extrême, matérialise le pouvoir de retrancher des êtres de l’ordre commun tout en les maintenant sous prise. Ailleurs, des dispositifs moins spectaculaires poursuivent la même opération par d’autres voies : faire que ce qui arrive n’existe socialement que dans les catégories autorisées ; faire que ce qui se vit puisse être saisi, comparé, orienté ; faire que ce qui s’écarte apparaisse déjà comme anomalie.</w:t>
      </w:r>
    </w:p>
    <w:p>
      <w:pPr>
        <w:pStyle w:val="BodyText"/>
        <w:rPr/>
      </w:pPr>
      <w:r>
        <w:rPr/>
        <w:t>Se dessine alors une fermeture progressive des bords. Presse indépendante, mémoire non officielle, autonomie pédagogique, espace religieux libre, sociabilité non encadrée, temporalité privée, langage non aligné : tout ce qui pourrait soutenir une normativité autre devient plus difficile à habiter. Le monde se rétracte autour du régime. Pourtant, cette clôture n’atteint jamais son achèvement absolu. Il demeure des restes, des réserves minimes, des opacités : silence non capturé, ironie clandestine, texte caché, fidélité souterraine, refus sans déclaration. Ces formes ne suffisent pas à renverser le système. Elles en marquent cependant la limite. Le totalitarisme pousse jusqu’à son seuil extrême la logique de clôture archicratique ; mais il rencontre toujours, dans l’épaisseur même du vivant, quelque chose qu’il ne parvient pas à refermer tout à fait.</w:t>
      </w:r>
    </w:p>
    <w:p>
      <w:pPr>
        <w:pStyle w:val="BodyText"/>
        <w:rPr/>
      </w:pPr>
      <w:r>
        <w:rPr/>
        <w:t>Au terme de ce parcours, le totalitarisme apparaît moins comme une simple forme extrême de domination que comme une épreuve-limite pour toute pensée de l’archicratie. Ce qu’il porte à son point de tension maximal, ce n’est pas seulement l’intensité de la violence ni l’extension du contrôle, mais la volonté de faire tenir ensemble, sans reste, un fondement exclusif, une puissance omniprésente, une production intensive du conforme et une réduction systématique des extérieurs possibles. Il ne cherche pas seulement à gouverner un monde déjà là ; il travaille à le reformater à partir d’un principe unique de vérité, d’appartenance et de recevabilité.</w:t>
      </w:r>
    </w:p>
    <w:p>
      <w:pPr>
        <w:pStyle w:val="BodyText"/>
        <w:rPr/>
      </w:pPr>
      <w:r>
        <w:rPr/>
        <w:t>C’est pourquoi le totalitarisme ne peut être rabattu ni sur la seule figure de la dictature, ni sur celle d’une hypertrophie administrative, ni même sur celle d’un autoritarisme plus brutal que les autres. Il constitue une forme spécifique de saturation archicratique. L’arcalité y devient absolue ; la cratialité s’y diffuse jusqu’aux interstices les plus ordinaires de l’existence ; l’archicration y travaille les conditions mêmes dans lesquelles on parle, on perçoit, on se souvient, on s’oriente, on appartient. Race, histoire, nation, révolution : ces mots n’y légitiment pas seulement le pouvoir ; ils servent à qualifier le réel tout entier, à distribuer le conforme et l’inassimilable, le récupérable et l’éliminable.</w:t>
      </w:r>
    </w:p>
    <w:p>
      <w:pPr>
        <w:pStyle w:val="BodyText"/>
        <w:rPr/>
      </w:pPr>
      <w:r>
        <w:rPr/>
        <w:t>Mais cette logique, précisément parce qu’elle tend à la clôture parfaite, laisse aussi apparaître ce qu’elle ne peut abolir. Il peut réduire, capturer, isoler, déplacer, reconfigurer, anéantir ; il ne parvient pourtant jamais à supprimer absolument restes, opacités, survivances, fidélités souterraines ou mémoires non absorbées. Sa violence la plus propre tient à cette poursuite obstinée d’une coïncidence impossible entre l’ordre prescrit et le vivant.</w:t>
      </w:r>
    </w:p>
    <w:p>
      <w:pPr>
        <w:pStyle w:val="BodyText"/>
        <w:rPr/>
      </w:pPr>
      <w:r>
        <w:rPr/>
        <w:t>Il faut tenir ensemble ces deux propositions. D’une part, le totalitarisme représente bien l’une des formes les plus extrêmes de la régulation moderne, parce qu’il pousse jusqu’à un degré inédit la volonté de configurer l’existence dans toutes ses dimensions. D’autre part, il révèle négativement la limite de toute prétention archicratique à refermer le monde sur un seul principe. En cela, il n’est pas seulement un objet historique parmi d’autres ; il est un avertissement théorique majeur : là où le fondement s’absolutise, où la puissance se dissémine sans reste, où la norme prétend devenir le milieu intégral de l’existence, la co-viabilité cesse d’être tenue du monde commun pour devenir entreprise de réduction du vivant.</w:t>
      </w:r>
    </w:p>
    <w:p>
      <w:pPr>
        <w:pStyle w:val="BodyText"/>
        <w:rPr/>
      </w:pPr>
      <w:r>
        <w:rPr/>
        <w:t>Un tableau de synthèse présenté en annexe récapitule les grandes configurations ici étudiées. La sous-section suivante n’aura pas pour tâche de raconter une sortie simple hors du totalitaire, ni de suggérer qu’après la mobilisation intégrale viendrait enfin le temps paisible d’une régulation sans violence. Elle devra plutôt examiner d’autres figures du XXe siècle, dans lesquelles la norme change de texture, de rythme et de vecteurs, sans renoncer pour autant à organiser les conduites, à distribuer les places et à gouverner les existences.</w:t>
      </w:r>
    </w:p>
    <w:p>
      <w:pPr>
        <w:pStyle w:val="Heading3"/>
        <w:numPr>
          <w:ilvl w:val="2"/>
          <w:numId w:val="2"/>
        </w:numPr>
        <w:rPr/>
      </w:pPr>
      <w:r>
        <w:rPr/>
        <w:t>2.3.6 — Régimes démocratiques : biopolitique et État-providence</w:t>
      </w:r>
    </w:p>
    <w:p>
      <w:pPr>
        <w:pStyle w:val="BodyText"/>
        <w:rPr/>
      </w:pPr>
      <w:r>
        <w:rPr/>
        <w:t>Les régimes démocratiques providentiels issus de l’après-guerre ne doivent pas être lus comme une simple restauration de la normalité politique après la séquence totalitaire. Une telle lecture manquerait l’essentiel : ce qui s’installe alors n’est pas la disparition de la régulation intensive, mais sa recomposition dans un régime moins spectaculaire, moins confessionnel, moins frontalement terrorisant, et pourtant profondément structurant. La violence ne s’y abolit pas ; elle change de forme, de rythme, de justification et de visibilité.</w:t>
      </w:r>
    </w:p>
    <w:p>
      <w:pPr>
        <w:pStyle w:val="BodyText"/>
        <w:rPr/>
      </w:pPr>
      <w:r>
        <w:rPr/>
        <w:t>Ce déplacement est décisif. Avec la démocratie libérale-sociale, le pouvoir ne s’affirme plus prioritairement sous la figure d’un centre souverain exigeant l’adhésion idéologique totale, mais à travers une organisation plus diffuse des existences, fondée sur la protection, l’assurance, la prise en charge, la prévoyance et la gestion des risques. L’ordre ne se présente plus d’abord comme exigence de mobilisation ; il s’offre comme cadre de sécurité. C’est précisément cette conversion de la contrainte visible en co-viabilité assurantielle qui donne au régime sa tonalité propre.</w:t>
      </w:r>
    </w:p>
    <w:p>
      <w:pPr>
        <w:pStyle w:val="BodyText"/>
        <w:rPr/>
      </w:pPr>
      <w:r>
        <w:rPr/>
        <w:t>Il faut donc éviter deux contresens symétriques. Le premier consisterait à voir dans l’État-providence démocratique une pure rupture émancipatrice avec les régimes disciplinaires et totalitaires. Le second serait de n’y lire qu’une simple version adoucie de ces derniers. Ni sortie simple hors de la domination, ni continuité brute sous visage modéré : le régime démocratique providentiel constitue une configuration archicratique spécifique, dotée de sa cohérence propre. Sa singularité tient à l’articulation d’une arcalité fondée sur les droits sociaux et la souveraineté populaire, d’une cratialité bureaucratique et assurantielle appliquée aux trajectoires de vie, et d’une archicration pluralisée, dispersée dans des arènes de discussion, de contentieux, de négociation et de contestation.</w:t>
      </w:r>
    </w:p>
    <w:p>
      <w:pPr>
        <w:pStyle w:val="BodyText"/>
        <w:rPr/>
      </w:pPr>
      <w:r>
        <w:rPr/>
        <w:t>Sous cet angle, cette sous-section occupe une position stratégique dans l’économie générale du chapitre. En amont, les sociétés disciplinaires et totalitaires avaient porté à un haut degré de visibilité la verticalité du commandement, la saturation idéologique ou l’objectivation des conduites. En aval, les régimes cybernétiques et numériques déplaceront encore la norme vers l’adaptation continue, la captation comportementale et l’automatisation partielle des régulations. La configuration providentielle ne se confond avec aucun de ces deux pôles. Elle forme un moment propre, dans lequel la régulation devient plus enveloppante que spectaculaire, plus procédurale que confessionnelle, plus statistique que liturgique, sans cesser d’organiser profondément les conditions d’existence.</w:t>
      </w:r>
    </w:p>
    <w:p>
      <w:pPr>
        <w:pStyle w:val="BodyText"/>
        <w:rPr/>
      </w:pPr>
      <w:r>
        <w:rPr/>
        <w:t>L’hypothèse directrice sera donc la suivante : les démocraties providentielles redéploient l’archicratie en transformant l’obéissance directe en inclusion conditionnelle. Les individus y sont moins sommés de se déclarer fidèles à une vérité d’État que pris dans des dispositifs qui les protègent tout en les classant, les accompagnent tout en les évaluant, les assurent tout en les rendant comparables. Le citoyen y devient porteur d’un ensemble de statuts — ayant droit, usager, cotisant, bénéficiaire, patient ou demandeur — qui ouvrent des prises en charge collectives réelles, mais sous conditions de résidence, d’activité, d’éligibilité ou de conformité procédurale. La co-viabilité s’y soutient par un compromis dynamique entre universalité proclamée et différenciation administrée.</w:t>
      </w:r>
    </w:p>
    <w:p>
      <w:pPr>
        <w:pStyle w:val="BodyText"/>
        <w:rPr/>
      </w:pPr>
      <w:r>
        <w:rPr/>
        <w:t>Pour décrire ce régime, l’approche archicratique est particulièrement opérante. Elle permet de reconstruire ensemble : une arcalité fondée sur les droits sociaux, la mémoire des catastrophes historiques et la promesse de protection ; une cratialité assurantielle, statistique, bureaucratique et gestionnaire ; une archicration démocratique traversée par ses propres tensions, entre ouverture conflictuelle et ritualisation procédurale, entre contestabilité réelle et canalisation institutionnelle. Le problème n’est donc pas de savoir si ces régimes sont ou non violents, mais de comprendre comment ils gouvernent la vie en la prenant en charge, comment ils organisent l’inclusion en la conditionnant, et comment ils rendent la norme à la fois plus acceptable et plus difficile à saisir comme telle.</w:t>
      </w:r>
    </w:p>
    <w:p>
      <w:pPr>
        <w:pStyle w:val="BodyText"/>
        <w:rPr/>
      </w:pPr>
      <w:r>
        <w:rPr/>
        <w:t>L’arcalité propre au régime démocratique providentiel ne se concentre ni dans une source transcendante unique, ni dans une incarnation charismatique du pouvoir. Elle procède d’un montage plus composite, mais non moins structurant : souveraineté populaire, droits fondamentaux, droits sociaux, mémoire politique des catastrophes du XXe siècle et promesse institutionnelle de protection y composent ensemble une scène de légitimation à la fois pluralisée et robuste. Le fondement ne s’y donne plus comme origine indiscutable ; il se présente comme principe politiquement institué, juridiquement formulé et historiquement justifié.</w:t>
      </w:r>
    </w:p>
    <w:p>
      <w:pPr>
        <w:pStyle w:val="BodyText"/>
        <w:rPr/>
      </w:pPr>
      <w:r>
        <w:rPr/>
        <w:t>Cette arcalité tient d’abord à la souveraineté populaire telle qu’elle s’inscrit dans la constitution, dans la périodicité électorale et dans la reconnaissance du citoyen comme sujet de droit. Mais elle ne s’y réduit pas. L’un des traits décisifs du régime d’après-guerre est d’avoir incorporé à cette scène fondatrice une promesse de sécurité sociale, de protection contre les risques de l’existence et de limitation politique de la vulnérabilité. Le travail, la maladie, la vieillesse, l’enfance, l’accident, le chômage cessent d’apparaître comme simples aléas privés ; ils deviennent des objets de prise en charge collective. En ce sens, l’État social ne s’ajoute pas extérieurement à la démocratie représentative : il en transforme la texture arcale en élargissant la légitimité politique à la protection matérielle des existences.</w:t>
      </w:r>
    </w:p>
    <w:p>
      <w:pPr>
        <w:pStyle w:val="BodyText"/>
        <w:rPr/>
      </w:pPr>
      <w:r>
        <w:rPr/>
        <w:t>Cette extension du fondement s’appuie sur des matérialités précises : constitutions, préambules, grandes lois sociales, ordonnances fondatrices, chartes de droits, missions du service public. Il ne s’agit pas là d’un simple décor normatif. Ces textes et ces institutions rendent opposable un engagement de la collectivité envers ses membres ; ils stabilisent une grammaire de justification à partir de laquelle peuvent être invoqués l’accès aux soins, à l’éducation, au revenu de remplacement, à la retraite, à l’assistance ou au logement. L’arcalité démocratique providentielle est donc à la fois civique et sociale : elle fonde l’ordre en promettant non seulement la participation à la cité, mais aussi une certaine protection contre l’exposition brute aux risques.</w:t>
      </w:r>
    </w:p>
    <w:p>
      <w:pPr>
        <w:pStyle w:val="BodyText"/>
        <w:rPr/>
      </w:pPr>
      <w:r>
        <w:rPr/>
        <w:t>Cette scène de légitimation est inséparable d’une mémoire historique déterminée. Les démocraties providentielles se construisent aussi sur le refus des effondrements antérieurs : misère de masse, désaffiliation, guerre, fascisme, destruction industrielle des vies. Leur arcalité demeure travaillée par cette mémoire négative. Si les droits sociaux acquièrent une telle centralité, ce n’est pas seulement par générosité doctrinale ; c’est parce qu’ils apparaissent comme l’un des moyens d’empêcher le retour de formes de décomposition sociale et politique tenues pour historiquement catastrophiques. Le fondement démocratique ne repose donc pas seulement sur un idéal abstrait d’égalité, mais sur une leçon historique : une société livrée à certaines vulnérabilités massives se rend elle-même politiquement friable.</w:t>
      </w:r>
    </w:p>
    <w:p>
      <w:pPr>
        <w:pStyle w:val="BodyText"/>
        <w:rPr/>
      </w:pPr>
      <w:r>
        <w:rPr/>
        <w:t>À cette première couche symbolique s’ajoute progressivement une seconde, plus technicienne. L’arcalité ne se contente plus d’énoncer des principes ; elle tend à se reformuler dans une langue de l’équilibre, de la rationalisation, de la soutenabilité et de l’optimisation. Le régime ne se légitime plus seulement par la justice qu’il promet, mais par sa capacité à démontrer qu’il administre convenablement les interdépendances sociales. D’où le rôle croissant des indicateurs, des taux de couverture, des seuils de pauvreté, des courbes démographiques, des projections de dépenses, des statistiques sanitaires ou éducatives. Ces chiffres ne valent pas simplement comme outils descriptifs ; ils deviennent modalités de preuve. Ils servent à montrer qu’un arbitrage est nécessaire, qu’une réforme est soutenable, qu’une politique est équilibrée, qu’une prestation est trop coûteuse ou insuffisamment ciblée.</w:t>
      </w:r>
    </w:p>
    <w:p>
      <w:pPr>
        <w:pStyle w:val="BodyText"/>
        <w:rPr/>
      </w:pPr>
      <w:r>
        <w:rPr/>
        <w:t>Il faut toutefois être précis : cette optimisation demeure encore largement analogique. Elle repose sur des agrégats, sur des séries, sur des projections, sur des instruments statistiques interprétés et disputés dans des arènes humaines. Elle n’implique pas encore la modulation automatisée en temps réel, ni l’ajustement normatif continu propre aux régimes cybernétiques ultérieurs. C’est là un point décisif. Le régime démocratique providentiel gouverne déjà par le calcul, mais par un calcul médiatisé par des institutions, des délibérations, des procédures de réforme et des controverses publiques encore saisissables politiquement.</w:t>
      </w:r>
    </w:p>
    <w:p>
      <w:pPr>
        <w:pStyle w:val="BodyText"/>
        <w:rPr/>
      </w:pPr>
      <w:r>
        <w:rPr/>
        <w:t>L’arcalité démocratique providentielle doit donc être comprise comme une légitimité à la fois juridique, sociale, historique et gestionnaire. Juridique, parce qu’elle s’adosse à des droits formulés et à des garanties reconnues ; sociale, parce qu’elle promet une protection concrète contre les vulnérabilités ordinaires ; historique, parce qu’elle tire une part de sa force du souvenir des catastrophes antérieures ; gestionnaire enfin, parce qu’elle tend à prouver sa validité par la capacité à équilibrer, répartir et optimiser les conditions de la tenue du monde social. C’est cette composition, à la fois forte et instable, qui donne au régime sa singularité : il ne fonde pas seulement l’ordre sur la représentation, mais sur la promesse que l’existence collective peut être rendue plus vivable à travers des protections organisées, calculées et politiquement justifiables.</w:t>
      </w:r>
    </w:p>
    <w:p>
      <w:pPr>
        <w:pStyle w:val="BodyText"/>
        <w:rPr/>
      </w:pPr>
      <w:r>
        <w:rPr/>
        <w:t>La cratialité propre au régime démocratique providentiel ne vise ni l’obéissance exaltée ni la mobilisation totale. Elle opère sur un autre mode : celui d’une gestion différenciée des conditions d’existence. Le pouvoir s’y exerce moins sur des sujets héroïsés ou désignés comme ennemis que sur des populations distribuées en catégories, en trajectoires, en profils de risque, en situations d’activité ou de vulnérabilité. Il ne commande pas d’abord ; il classe, ouvre des droits, en suspend d’autres, ajuste des prestations, organise des parcours, anticipe des charges, répartit des protections.</w:t>
      </w:r>
    </w:p>
    <w:p>
      <w:pPr>
        <w:pStyle w:val="BodyText"/>
        <w:rPr/>
      </w:pPr>
      <w:r>
        <w:rPr/>
        <w:t>Cette cratialité s’appuie d’abord sur la statistique publique. Celle-ci ne se borne pas à décrire la société ; elle contribue à la rendre gouvernable. Les taux d’emploi, les courbes démographiques, les données sanitaires, les seuils de pauvreté, les cartes d’équipement ou les indicateurs de besoins localisent des problèmes, hiérarchisent des urgences et légitiment des arbitrages. La donnée agrégée fonctionne ainsi comme opérateur de qualification collective : elle permet de dire où intervenir, sur qui concentrer les moyens, quels groupes protéger davantage, quels déséquilibres corriger, quelles dépenses contenir. La population devient lisible sous forme de séries, et cette lisibilité prépare l’intervention.</w:t>
      </w:r>
    </w:p>
    <w:p>
      <w:pPr>
        <w:pStyle w:val="BodyText"/>
        <w:rPr/>
      </w:pPr>
      <w:r>
        <w:rPr/>
        <w:t>Mais cette première prise, macroscopique, ne suffirait pas sans une seconde : la bureaucratie procédurale. Car le régime providentiel ne gouverne pas seulement par grandes catégories statistiques ; il gouverne aussi en traduisant les existences singulières dans des chaînes de traitement administratives. Dossiers, formulaires, attestations, justificatifs, rapports, examens, validations, recours : tout un appareillage transforme les situations vécues en cas instruits. Le pouvoir ne prend alors plus la forme d’un ordre direct, mais celle d’une suite d’opérations qui rendent la vie administrativement traitable. Être malade, chômeur, parent isolé, retraité, étudiant, demandeur d’aide ou locataire en difficulté, ce n’est pas seulement éprouver une situation ; c’est entrer dans un langage de procédures où cette situation devra être prouvée, codée, évaluée, reconnue ou refusée.</w:t>
      </w:r>
    </w:p>
    <w:p>
      <w:pPr>
        <w:pStyle w:val="BodyText"/>
        <w:rPr/>
      </w:pPr>
      <w:r>
        <w:rPr/>
        <w:t>Le troisième ressort est celui de l’éligibilité conditionnelle. C’est ici que la cratialité providentielle révèle le plus clairement son ambivalence. Car la protection n’y est jamais pure gratuité ; elle suppose presque toujours des seuils, des critères, des statuts, des temporalités, des preuves d’appartenance ou de conformité. On n’accède pas aux ressources simplement parce qu’on existe, mais parce qu’on entre dans certaines catégories recevables : résidence stable, carrière suffisamment déclarée, cotisation antérieure, situation familiale reconnue, incapacité certifiée, comportement administratif jugé adéquat. Le régime inclut, mais en qualifiant. Il ouvre, mais sous conditions. Il protège, mais en distinguant.</w:t>
      </w:r>
    </w:p>
    <w:p>
      <w:pPr>
        <w:pStyle w:val="BodyText"/>
        <w:rPr/>
      </w:pPr>
      <w:r>
        <w:rPr/>
        <w:t>De là vient sa puissance propre. Cette cratialité n’a pas besoin de se présenter comme violence manifeste pour produire des effets profonds. Elle pèse sur les comportements ordinaires en distribuant silencieusement les conditions d’accès aux protections. Travailler, se déclarer, se soigner dans les cadres requis, scolariser ses enfants, résider de manière stabilisée, répondre aux convocations, fournir les pièces demandées : autant de conduites qui ne relèvent pas d’un commandement central spectaculaire, mais d’une multiplicité d’obligations diffuses dont dépend l’effectivité même des droits. La norme ne s’impose pas ici sous forme de credo ; elle se glisse dans les procédures par lesquelles l’inclusion devient praticable ou s’interrompt.</w:t>
      </w:r>
    </w:p>
    <w:p>
      <w:pPr>
        <w:pStyle w:val="BodyText"/>
        <w:rPr/>
      </w:pPr>
      <w:r>
        <w:rPr/>
        <w:t>Il faut toutefois éviter un contresens. Cette rationalité de classement, de preuve et de conditionnalité n’est pas encore celle des régimes cybernétiques. Elle demeure massivement analogique, hiérarchique et médiée par des institutions humaines. Les indicateurs y servent à préparer et à justifier des décisions ; ils ne modulent pas encore automatiquement les droits en temps réel. Les fichiers soutiennent l’administration ; ils ne constituent pas encore des nœuds autonomes d’ajustement comportemental continu. Le régime providentiel gouverne déjà par le calcul, mais par un calcul lent, procédural, interprété, encore enchâssé dans des chaînes bureaucratiques et dans des temporalités de décision politiquement repérables.</w:t>
      </w:r>
    </w:p>
    <w:p>
      <w:pPr>
        <w:pStyle w:val="BodyText"/>
        <w:rPr/>
      </w:pPr>
      <w:r>
        <w:rPr/>
        <w:t>La cratialité démocratique providentielle peut donc se définir comme une puissance de traduction administrative de la vie sociale. Elle transforme des existences en catégories, des besoins en critères, des vulnérabilités en droits potentiels, des trajectoires en dossiers, des écarts en anomalies traitables. Sa spécificité ne tient pas à l’absence de contrainte, mais au fait que la contrainte y prend la forme d’un encadrement procédural des conditions de protection. C’est en cela qu’elle diffère à la fois de la verticalité totalitaire qui la précède et de l’adaptativité cybernétique qui lui succédera : elle gouverne en assurant, en classant et en conditionnant.</w:t>
      </w:r>
    </w:p>
    <w:p>
      <w:pPr>
        <w:pStyle w:val="BodyText"/>
        <w:rPr/>
      </w:pPr>
      <w:r>
        <w:rPr/>
        <w:t>L’archicration démocratique providentielle ne se réduit ni à l’invocation abstraite de la souveraineté populaire, ni à la fiction d’une transparence délibérative où la légitimité naîtrait spontanément de la discussion publique. Sa spécificité tient plutôt à l’existence d’un archipel d’arènes dans lesquelles les normes d’inclusion, les critères d’éligibilité, les formes de la protection et les seuils de l’acceptable peuvent être remis en débat, réinterprétés, corrigés ou déplacés. Le régime ne vaut pas seulement par les droits qu’il proclame ni par les procédures qu’il administre, mais par l’existence de scènes où sa propre normativité peut être exposée à l’épreuve.</w:t>
      </w:r>
    </w:p>
    <w:p>
      <w:pPr>
        <w:pStyle w:val="BodyText"/>
        <w:rPr/>
      </w:pPr>
      <w:r>
        <w:rPr/>
        <w:t>Ces scènes sont de nature diverse, mais il serait inutile de les inventorier longuement. L’essentiel est ailleurs : assemblées délibératives, négociations sociales, juridictions, mobilisations collectives, controverses publiques, associations d’usagers ou de défense des droits forment moins une série d’institutions séparées qu’un ensemble discontinu d’espaces où la norme ne s’applique pas simplement, mais se trouve soumise à contestation, à justification ou à révision. L’archicration démocratique ne réside donc pas dans un lieu unique ; elle circule entre plusieurs arènes, avec des intensités variables, des temporalités disjointes et des degrés très inégaux d’effectivité.</w:t>
      </w:r>
    </w:p>
    <w:p>
      <w:pPr>
        <w:pStyle w:val="BodyText"/>
        <w:rPr/>
      </w:pPr>
      <w:r>
        <w:rPr/>
        <w:t>Dans sa forme la plus forte, cette archicration permet une véritable mise à l’épreuve du régime par ses propres destinataires. Une loi sociale peut être amendée, une décision administrative contestée, un critère d’accès rediscuté, une catégorie disqualifiante renversée, une politique hospitalière ou scolaire réévaluée sous l’effet conjugué du conflit, de la jurisprudence, de la mobilisation ou de l’argumentation publique. En ce sens, la démocratie providentielle ne vit pas seulement d’un équilibre institutionnel ; elle dépend de sa capacité à laisser subsister des scènes où les normes de co-viabilité puissent être disputées sans que le conflit soit immédiatement traité comme menace extérieure.</w:t>
      </w:r>
    </w:p>
    <w:p>
      <w:pPr>
        <w:pStyle w:val="BodyText"/>
        <w:rPr/>
      </w:pPr>
      <w:r>
        <w:rPr/>
        <w:t>Mais cette ouverture n’est jamais pure. C’est même ici que réside l’ambivalence constitutive du régime. Les mêmes scènes qui permettent l’exposition critique de la norme peuvent aussi fonctionner comme dispositifs de canalisation. Le débat parlementaire peut ritualiser des arbitrages déjà verrouillés ; la concertation sociale peut encadrer le dissensus dans des temporalités et des formats qui en limitent la portée ; le recours juridictionnel peut individualiser des problèmes structurels ; la consultation publique peut offrir l’image d’une participation sans déplacer réellement les cadres de décision ; la controverse médiatique peut simplifier à l’excès ce qu’elle prétend mettre en discussion. L’archicration, ici, oscille sans cesse entre réouverture effective et mise en scène régulée de l’ouverture.</w:t>
      </w:r>
    </w:p>
    <w:p>
      <w:pPr>
        <w:pStyle w:val="BodyText"/>
        <w:rPr/>
      </w:pPr>
      <w:r>
        <w:rPr/>
        <w:t>C’est pourquoi il faut résister à deux illusions contraires. La première consisterait à idéaliser ces arènes comme lieux naturels d’auto-correction démocratique. La seconde serait de n’y voir que théâtre d’impuissance. L’une et l’autre manqueraient le cœur du problème. L’archicration démocratique providentielle est une structure ambivalente : elle ouvre réellement des possibilités de contestation, de révision et de requalification, mais elle le fait dans des cadres procéduraux qui tendent en même temps à absorber, filtrer, temporiser et reformater cette conflictualité.</w:t>
      </w:r>
    </w:p>
    <w:p>
      <w:pPr>
        <w:pStyle w:val="BodyText"/>
        <w:rPr/>
      </w:pPr>
      <w:r>
        <w:rPr/>
        <w:t>Cette tension est constitutive, non accidentelle. Elle appartient à la logique même du régime. Car la démocratie providentielle doit à la fois protéger l’ordre de la co-viabilité et maintenir des scènes où cet ordre puisse être discuté au nom de ses propres principes. Toute fermeture excessive de ces arènes affaiblit sa légitimité ; toute ouverture illimitée mettrait à l’épreuve sa capacité de tenue. L’archicration y apparaît ainsi comme un opérateur de réflexivité fragile : ni simple supplément procédural, ni pure façade de validation, mais ensemble conflictuel de scènes où le régime travaille sans cesse sa propre justification.</w:t>
      </w:r>
    </w:p>
    <w:p>
      <w:pPr>
        <w:pStyle w:val="BodyText"/>
        <w:rPr/>
      </w:pPr>
      <w:r>
        <w:rPr/>
        <w:t>La consistance du régime démocratique providentiel ne se laisse toutefois saisir pleinement qu’au niveau de ses opérateurs concrets, là où la promesse des droits rencontre les procédures qui en règlent l’accès et les scènes locales où leur mise en œuvre peut être discutée. C’est à cette échelle que l’on voit le mieux comment s’articulent, dans la pratique, l’arcalité protectrice du régime, sa cratialité bureaucratique et une archicration toujours partielle, souvent fragile, mais néanmoins décisive.</w:t>
      </w:r>
    </w:p>
    <w:p>
      <w:pPr>
        <w:pStyle w:val="BodyText"/>
        <w:rPr/>
      </w:pPr>
      <w:r>
        <w:rPr/>
        <w:t>L’école en offre une première figure. Elle est portée par une arcalité forte : égalité républicaine, promesse d’émancipation, droit à l’instruction, formation du citoyen. Mais cette promesse n’existe qu’au travers d’une cratialité très organisée : programmes, évaluations, orientation, classement, filières, hiérarchies scolaires. L’archicration apparaît alors dans les moments où cette prétention égalitaire est confrontée à ses effets réels : conseils de classe, conflits autour de l’orientation, mobilisations contre certaines réformes, débats sur l’évaluation ou sur la reproduction des inégalités. L’école concentre ainsi, dans une forme particulièrement lisible, la tension entre un droit proclamé universellement et des mécanismes de distribution différenciée des trajectoires.</w:t>
      </w:r>
    </w:p>
    <w:p>
      <w:pPr>
        <w:pStyle w:val="BodyText"/>
        <w:rPr/>
      </w:pPr>
      <w:r>
        <w:rPr/>
        <w:t>Le système de santé présente une structure comparable. Son arcalité réside dans la reconnaissance du soin comme bien commun et dans l’idée qu’une société démocratique ne peut abandonner les corps à leur seule solvabilité. Pourtant, cette promesse passe nécessairement par des chaînes procédurales de tri, de priorisation, de codification et de financement. C’est pourquoi l’archicration s’y loge dans des scènes souvent discrètes, mais cruciales : contentieux de prise en charge, comités d’éthique, mobilisations hospitalières, associations de patients, débats sur les seuils d’accès, les files d’attente, les critères de pertinence ou de rationnement. Là encore, le régime ne se définit pas seulement par ce qu’il garantit, mais par les lieux où la manière même de garantir devient discutable.</w:t>
      </w:r>
    </w:p>
    <w:p>
      <w:pPr>
        <w:pStyle w:val="BodyText"/>
        <w:rPr/>
      </w:pPr>
      <w:r>
        <w:rPr/>
        <w:t>Les organismes de protection sociale condensent d’une autre manière la logique providentielle. Ils rendent effectif le principe de solidarité, mais seulement en traduisant les situations vécues dans des catégories recevables, documentées, vérifiables. L’intérêt analytique de ces institutions ne réside pas dans leur diversité administrative, mais dans la forme qu’elles imposent au rapport entre individu et protection. Le droit n’y est jamais pure déclaration ; il est sans cesse reconduit par des opérations de qualification. Et c’est précisément là qu’apparaît l’archicration locale : commissions de recours, médiations, contestations d’une radiation, rediscussion d’un statut, mise à l’épreuve d’une décision au regard de la promesse même du régime.</w:t>
      </w:r>
    </w:p>
    <w:p>
      <w:pPr>
        <w:pStyle w:val="BodyText"/>
        <w:rPr/>
      </w:pPr>
      <w:r>
        <w:rPr/>
        <w:t>Le logement, enfin, donne à cette articulation une matérialité particulièrement nette. Ici, le droit à habiter ne prend jamais la forme d’une simple proclamation abstraite. Il passe par des critères d’attribution, des listes d’attente, des zonages, des priorités implicites, des choix de relogement, des arbitrages territoriaux. La co-viabilité providentielle s’y révèle dans sa dimension la plus spatiale : une société ne protège pas seulement en distribuant des revenus ou des soins, elle protège aussi en organisant des conditions d’inscription matérielle dans l’espace commun. Mais cette protection est immédiatement traversée par des opérations de tri, par des hiérarchies de situations et par des scènes de contestation locales où se rediscutent les seuils du recevable.</w:t>
      </w:r>
    </w:p>
    <w:p>
      <w:pPr>
        <w:pStyle w:val="BodyText"/>
        <w:rPr/>
      </w:pPr>
      <w:r>
        <w:rPr/>
        <w:t>À travers ces différents opérateurs, une même structure se laisse reconnaître. Le régime démocratique providentiel ne tient ni par la seule proclamation des droits, ni par la seule efficacité des administrations. Il tient dans l’écart, toujours retravaillé, entre une promesse de protection, les procédures qui la conditionnent et les scènes où cette conditionnalité peut être exposée, discutée ou infléchie. C’est dans cet entrelacement, et non dans chacun des pôles pris isolément, que se joue la réalité archicratique du régime.</w:t>
      </w:r>
    </w:p>
    <w:p>
      <w:pPr>
        <w:pStyle w:val="BodyText"/>
        <w:rPr/>
      </w:pPr>
      <w:r>
        <w:rPr/>
        <w:t>Le régime démocratique providentiel n’est ni homogène ni pacifié. Sa force historique tient même au fait qu’il intègre à son fonctionnement des tensions qui ne sont pas des accidents périphériques, mais la matière même de sa viabilité. La première d’entre elles oppose l’universalité proclamée des droits à la différenciation effective des accès. Ce que le droit formule sous le signe de la généralité, la procédure le recompose sous forme de seuils, de statuts, de conditions et de preuves. L’inclusion n’est jamais pure ; elle est médiée, filtrée, gradée. Le régime tient précisément dans cette contradiction : promettre à tous, distribuer sous conditions.</w:t>
      </w:r>
    </w:p>
    <w:p>
      <w:pPr>
        <w:pStyle w:val="BodyText"/>
        <w:rPr/>
      </w:pPr>
      <w:r>
        <w:rPr/>
        <w:t>Une seconde tension traverse la relation entre protection et responsabilisation. À mesure que les dispositifs se densifient, les bénéficiaires sont de plus en plus reconduits à une logique de comportement attendu : se déclarer, coopérer, chercher activement, se conformer, prouver sa bonne foi, démontrer sa disponibilité ou sa discipline thérapeutique. La solidarité change alors de ton. Elle demeure bien réelle, mais elle tend à se doubler d’une épreuve de conformité. Le protégé devient justiciable de sa propre protection.</w:t>
      </w:r>
    </w:p>
    <w:p>
      <w:pPr>
        <w:pStyle w:val="BodyText"/>
        <w:rPr/>
      </w:pPr>
      <w:r>
        <w:rPr/>
        <w:t>À cela s’ajoute une tension plus profonde encore, entre égalité formelle et reproduction des asymétries concrètes. Le régime providentiel corrige, redistribue, amortit ; mais il ne neutralise jamais entièrement les inégalités de classe, de genre, d’origine, de statut administratif ou de capital scolaire. Ses procédures standardisées, précisément parce qu’elles visent l’universalité abstraite, tendent aussi à reconduire des différences structurelles qu’elles ne savent pas toujours nommer. C’est pourquoi la co-viabilité démocratique providentialiste demeure travaillée par ce qu’elle ne parvient qu’imparfaitement à absorber.</w:t>
      </w:r>
    </w:p>
    <w:p>
      <w:pPr>
        <w:pStyle w:val="BodyText"/>
        <w:rPr/>
      </w:pPr>
      <w:r>
        <w:rPr/>
        <w:t>Ces tensions internes se compliquent d’hybridations externes. La plus visible est l’hybridation marchande : assurances complémentaires, délégations de service, externalisations, critères de rentabilité, sélectivité croissante de certaines protections. La promesse de solidarité subsiste, mais elle se trouve partiellement relayée par des opérateurs qui injectent dans la co-viabilité des logiques d’optimisation, de concurrence ou de solvabilité. Une autre hybridation, plus discrète mais non moins décisive, est d’ordre sécuritaire : contrôle renforcé de la fraude, circulation inter-administrative de l’information, soupçon porté sur certains bénéficiaires, glissement de la protection vers la vérification. Le régime providentiel ne devient pas pour autant policier au sens fort ; mais ses dispositifs peuvent être infléchis vers des fonctions de tri et de surveillance qui en modifient l’esprit.</w:t>
      </w:r>
    </w:p>
    <w:p>
      <w:pPr>
        <w:pStyle w:val="BodyText"/>
        <w:rPr/>
      </w:pPr>
      <w:r>
        <w:rPr/>
        <w:t>Face à ces tensions et à ces hybridations, des résistances persistent. Elles ne prennent pas toujours la forme spectaculaire du grand conflit social. Elles peuvent surgir dans des recours, des médiations, des associations d’usagers, des mobilisations sectorielles, des syndicats, des collectifs de patients, des luttes pour le logement, ou même dans des pratiques plus discrètes de contournement, d’entraide et de réappropriation. Leur intérêt n’est pas seulement protestataire. Elles rappellent que l’archicration démocratique ne disparaît pas dès lors que les procédures se rigidifient ; elle se déplace, se fragilise, se recompose dans des scènes souvent locales, parfois précaires, mais capables encore d’exposer la norme à ses propres promesses.</w:t>
      </w:r>
    </w:p>
    <w:p>
      <w:pPr>
        <w:pStyle w:val="BodyText"/>
        <w:rPr/>
      </w:pPr>
      <w:r>
        <w:rPr/>
        <w:t>C’est aussi par là qu’apparaissent les cas limites du régime : celles et ceux qu’il ne parvient ni à intégrer pleinement, ni à exclure complètement. Sans-papiers, sans-domicile, travailleurs intermittents de l’informel, jeunes en errance, personnes en suspens administratif ou social : ces figures ne sont pas extérieures à la démocratie providentielle, elles en révèlent les bords. Elles montrent ce qu’un régime fondé sur la protection conditionnelle laisse en reste lorsqu’aucune catégorie ne parvient plus à stabiliser l’accès aux droits. Le cas limite n’est pas une anomalie secondaire ; il est l’épreuve concrète des seuils de recevabilité du système.</w:t>
      </w:r>
    </w:p>
    <w:p>
      <w:pPr>
        <w:pStyle w:val="BodyText"/>
        <w:rPr/>
      </w:pPr>
      <w:r>
        <w:rPr/>
        <w:t>Il faut enfin noter, sans surcharger la démonstration, qu’une inflexion s’esquisse dans les dernières décennies du XXe siècle. La montée des indicateurs de performance, des tableaux de bord et des logiques d’évaluation prépare un déplacement de grande portée. Nous ne sommes pas encore dans le régime cybernétique proprement dit : la décision demeure médiée par des institutions, les données restent agrégées, les temporalités de traitement restent relativement lentes, la norme continue de passer par des procédures humaines identifiables. Mais quelque chose se prépare déjà : une translation de la légitimité depuis la protection et la délibération vers la performance, le pilotage et l’ajustement.</w:t>
      </w:r>
    </w:p>
    <w:p>
      <w:pPr>
        <w:pStyle w:val="BodyText"/>
        <w:rPr/>
      </w:pPr>
      <w:r>
        <w:rPr/>
        <w:t>Le régime démocratique providentiel apparaît ainsi comme une configuration archicratique de très haute densité. Il ne se réduit ni à un compromis transitoire ni à une simple version modérée de la domination moderne. Sa singularité tient à l’articulation d’une arcalité fondée sur les droits sociaux et la souveraineté populaire, d’une cratialité assurantielle et bureaucratique appliquée aux trajectoires de vie, et d’une archicration pluralisée, dispersée dans un archipel d’arènes où les normes peuvent encore être exposées, disputées, parfois infléchies.</w:t>
      </w:r>
    </w:p>
    <w:p>
      <w:pPr>
        <w:pStyle w:val="BodyText"/>
        <w:rPr/>
      </w:pPr>
      <w:r>
        <w:rPr/>
        <w:t>Mais cette force fut aussi sa fragilité. Plus le régime a cherché à stabiliser la co-viabilité par la procédure, la catégorisation et l’équilibre gestionnaire, plus il s’est exposé à l’épuisement de ses médiations et à la remise en question de ses formes de légitimité.</w:t>
      </w:r>
    </w:p>
    <w:p>
      <w:pPr>
        <w:pStyle w:val="BodyText"/>
        <w:rPr/>
      </w:pPr>
      <w:r>
        <w:rPr/>
        <w:t>Un tableau de synthèse présenté en annexe récapitule les traits fondamentaux de cette configuration. La sous-section suivante examinera non pas un simple prolongement technique de ce régime, mais une transformation plus profonde : le passage à des formes de régulation où la norme cesse de se présenter d’abord comme droit opposable, procédure contestable ou arbitrage visible, pour se dissoudre davantage dans des infrastructures de calcul, de captation et d’ajustement continu.</w:t>
      </w:r>
    </w:p>
    <w:p>
      <w:pPr>
        <w:pStyle w:val="Heading3"/>
        <w:numPr>
          <w:ilvl w:val="2"/>
          <w:numId w:val="2"/>
        </w:numPr>
        <w:rPr/>
      </w:pPr>
      <w:r>
        <w:rPr/>
        <w:t>2.3.7 — Régimes cybernétiques, adaptatifs et numériques</w:t>
      </w:r>
    </w:p>
    <w:p>
      <w:pPr>
        <w:pStyle w:val="BodyText"/>
        <w:rPr/>
      </w:pPr>
      <w:r>
        <w:rPr/>
        <w:t>Les régimes cybernétiques, adaptatifs et numériques ne constituent ni un simple prolongement des formes bureaucratiques modernes, ni une radicalisation des dispositifs disciplinaires antérieurs. Ils introduisent une transformation plus profonde : un déplacement du principe même de régulation. Là où les régimes précédents organisaient l’ordre à partir de normes explicites, de décisions localisables ou de structures institutionnelles identifiables, le régime cybernético-calculatoire opère à partir de la modélisation des comportements, de l’anticipation probabiliste et de l’ajustement continu des environnements d’action.</w:t>
      </w:r>
    </w:p>
    <w:p>
      <w:pPr>
        <w:pStyle w:val="BodyText"/>
        <w:rPr/>
      </w:pPr>
      <w:r>
        <w:rPr/>
        <w:t>Ce déplacement engage une mutation à la fois épistémique et opératoire. Le savoir régulateur cesse d’être principalement juridique, doctrinal ou administratif pour devenir computationnel, statistique et prédictif. Corrélations, profils, signaux faibles et boucles de rétroaction remplacent progressivement les catégories normatives explicites. Dans le même mouvement, le pouvoir perd son caractère immédiatement localisable : il ne se présente plus prioritairement comme commandement, décision ou autorité, mais comme agencement distribué de dispositifs capables de capter, traiter et réorienter les conduites en temps réel.</w:t>
      </w:r>
    </w:p>
    <w:p>
      <w:pPr>
        <w:pStyle w:val="BodyText"/>
        <w:rPr/>
      </w:pPr>
      <w:r>
        <w:rPr/>
        <w:t>La régulation ne s’abolit pas ; elle se reconfigure. Elle procède désormais d’abord par préformation des possibles. L’interdit ou l’obligation n’en constituent plus les vecteurs dominants ; elle passe plutôt par la structuration différentielle des trajectoires d’action. Ce qui est en jeu n’est donc pas un affaiblissement du pouvoir, mais une transformation de ses modalités d’exercice : d’un pouvoir qui ordonne à un pouvoir qui anticipe, d’un pouvoir qui contraint à un pouvoir qui module.</w:t>
      </w:r>
    </w:p>
    <w:p>
      <w:pPr>
        <w:pStyle w:val="BodyText"/>
        <w:rPr/>
      </w:pPr>
      <w:r>
        <w:rPr/>
        <w:t>Il serait toutefois erroné d’interpréter ce basculement comme l’avènement d’un pilotage purement immatériel ou désincarné. Le régime cybernétique ne substitue pas un espace numérique abstrait aux formes antérieures de gouvernement ; il reconfigure les conditions matérielles, techniques et informationnelles de la régulation. Il ne supprime ni les institutions ni les médiations, mais les recompose à partir d’infrastructures computationnelles qui en redistribuent les fonctions.</w:t>
      </w:r>
    </w:p>
    <w:p>
      <w:pPr>
        <w:pStyle w:val="BodyText"/>
        <w:rPr/>
      </w:pPr>
      <w:r>
        <w:rPr/>
        <w:t>Cette sous-section occupe, à ce titre, une position décisive dans l’économie du chapitre. Après les régimes disciplinaires et totalitaires, où la normativité se rendait visible dans des formes de commandement, de surveillance ou de mobilisation, et après les régimes démocratiques providentiels, où elle s’organisait dans des dispositifs assurantiels, statistiques et procéduraux, le régime cybernético-calculatoire introduit une configuration dans laquelle la norme tend à se dissoudre dans l’environnement même de l’action. La régulation ne disparaît pas : elle devient moins immédiatement perceptible comme telle.</w:t>
      </w:r>
    </w:p>
    <w:p>
      <w:pPr>
        <w:pStyle w:val="BodyText"/>
        <w:rPr/>
      </w:pPr>
      <w:r>
        <w:rPr/>
        <w:t>L’hypothèse directrice peut dès lors être formulée ainsi : le régime cybernétique redéploie l’archicratie en substituant à la normativité explicite une régulation par anticipation et modulation. Les individus n’y sont plus principalement gouvernés comme sujets de droit, ni même comme bénéficiaires d’agencements techniques, mais comme ensembles de données, profils comportementaux et trajectoires probabilisées. La co-viabilité ne s’y soutient plus prioritairement par la loi, la procédure ou la délibération, mais par l’ajustement continu des conditions d’action à partir de modèles calculatoires.</w:t>
      </w:r>
    </w:p>
    <w:p>
      <w:pPr>
        <w:pStyle w:val="BodyText"/>
        <w:rPr/>
      </w:pPr>
      <w:r>
        <w:rPr/>
        <w:t>Dans cette perspective, l’approche archicratique conserve toute sa pertinence, à condition d’en déplacer les points d’attention. L’arcalité ne disparaît pas, mais se reconfigure dans les architectures techniques et les protocoles ; la cratialité ne s’efface pas, mais se diffuse dans des dispositifs distribués de capture et de traitement ; l’archicration ne s’abolit pas, mais tend à s’opérer en amont de la décision, sous forme d’anticipation intégrée. Ce n’est donc pas la fin du triangle archicratique, mais une mutation de sa géométrie : d’une structuration visible et opposable à une organisation plus diffuse, plus continue et plus difficilement saisissable.</w:t>
      </w:r>
    </w:p>
    <w:p>
      <w:pPr>
        <w:pStyle w:val="BodyText"/>
        <w:rPr/>
      </w:pPr>
      <w:r>
        <w:rPr/>
        <w:t>Cette mutation s’enracine dans une généalogie théorique identifiable, qu’il convient de restituer sans en faire un inventaire. Dès 1948, Norbert Wiener formalise, avec la cybernétique, une conception du gouvernement fondée sur la rétroaction : l’action y est continuellement ajustée à partir des effets qu’elle produit. La régulation ne repose plus principalement sur l’édiction de règles, mais sur la stabilisation dynamique de systèmes par correction continue. Ce déplacement est décisif : il ouvre la possibilité d’un pouvoir opérant par ajustement plutôt que par commandement.</w:t>
      </w:r>
    </w:p>
    <w:p>
      <w:pPr>
        <w:pStyle w:val="BodyText"/>
        <w:rPr/>
      </w:pPr>
      <w:r>
        <w:rPr/>
        <w:t>Sans en proposer une formalisation technique, Michel Foucault en saisit l’inflexion dans ses analyses de la gouvernementalité. Le pouvoir n’y agit plus d’abord en imposant des normes explicites, mais en configurant les conditions dans lesquelles les conduites deviennent possibles. Gouverner consiste alors moins à ordonner qu’à structurer des environnements d’action, à orienter les comportements en agissant sur leurs conditions de possibilité.</w:t>
      </w:r>
    </w:p>
    <w:p>
      <w:pPr>
        <w:pStyle w:val="BodyText"/>
        <w:rPr/>
      </w:pPr>
      <w:r>
        <w:rPr/>
        <w:t>Cette ligne trouve une formulation plus explicite dans les travaux d’Antoinette Rouvroy et Thomas Berns, qui décrivent la montée d’une gouvernementalité algorithmique. Celle-ci se distingue par un déplacement radical : la régulation n’y passe plus par l’interpellation de sujets ni par la production de normes explicites, mais par le traitement inductif de données massives, à partir desquelles sont dégagées des corrélations opératoires. Les conduites ne sont plus prescrites ; elles sont anticipées, profilées et modulées en fonction de probabilités calculées.</w:t>
      </w:r>
    </w:p>
    <w:p>
      <w:pPr>
        <w:pStyle w:val="BodyText"/>
        <w:rPr/>
      </w:pPr>
      <w:r>
        <w:rPr/>
        <w:t>Ce déplacement engage une transformation de la rationalité politique elle-même. La causalité cède en partie la place à la corrélation, la décision à la probabilité, la norme à la modélisation. Le pouvoir ne disparaît pas ; il change de registre. Il ne s’exerce plus prioritairement dans l’énoncé d’une règle, mais dans la capacité à orienter des trajectoires à partir de leurs régularités statistiques.</w:t>
      </w:r>
    </w:p>
    <w:p>
      <w:pPr>
        <w:pStyle w:val="BodyText"/>
        <w:rPr/>
      </w:pPr>
      <w:r>
        <w:rPr/>
        <w:t>Il en résulte une forme de régulation qui ne s’impose plus frontalement, mais s’inscrit dans l’environnement même de l’action. Les dispositifs contemporains — qu’il s’agisse de personnalisation algorithmique, de design persuasif ou de modulation attentionnelle — n’ordonnent pas directement les comportements : ils en redistribuent les conditions d’émergence. Ce que l’on peut désigner, à la suite de ces analyses, comme une forme de post-régulation ne signifie donc pas disparition de la normativité, mais transformation de ses modalités : d’une régulation explicite et discursive à une régulation implicite et opératoire.</w:t>
      </w:r>
    </w:p>
    <w:p>
      <w:pPr>
        <w:pStyle w:val="BodyText"/>
        <w:rPr/>
      </w:pPr>
      <w:r>
        <w:rPr/>
        <w:t>Il serait intellectuellement trompeur de réduire le régime cybernético-calculatoire à une abstraction purement logicielle. La régulation algorithmique ne se déploie pas dans un espace immatériel : elle repose sur une infrastructure matérielle dense, énergivore et géopolitiquement située, sans laquelle aucune modulation en temps réel ne serait possible. L’archicratie numérique ne flotte pas dans un « nuage » ; elle s’ancre dans des dispositifs techniques, industriels et extractifs qui en conditionnent l’effectivité.</w:t>
      </w:r>
    </w:p>
    <w:p>
      <w:pPr>
        <w:pStyle w:val="BodyText"/>
        <w:rPr/>
      </w:pPr>
      <w:r>
        <w:rPr/>
        <w:t>Cette infrastructure forme le socle discret mais décisif du régime. Elle comprend, en premier lieu, les centres de données, où s’opèrent le stockage, le calcul et l’entraînement des modèles. Ces installations concentrent des puissances de traitement considérables, au prix d’une consommation énergétique massive et d’une dépendance à des chaînes logistiques globalisées. Elles matérialisent une première dimension de la régulation contemporaine : sa sédimentation énergétique.</w:t>
      </w:r>
    </w:p>
    <w:p>
      <w:pPr>
        <w:pStyle w:val="BodyText"/>
        <w:rPr/>
      </w:pPr>
      <w:r>
        <w:rPr/>
        <w:t>À cette couche s’ajoute une trame connective planétaire, constituée de réseaux de fibres optiques, de câbles sous-marins, de relais et de points d’interconnexion. La régulation y prend une dimension topologique : elle dépend de la vitesse de circulation des données, de la latence des transmissions et de la continuité des flux. L’espace du pouvoir se redessine alors selon une géographie des connexions, où l’accessibilité et la rapidité deviennent des conditions décisives de l’action.</w:t>
      </w:r>
    </w:p>
    <w:p>
      <w:pPr>
        <w:pStyle w:val="BodyText"/>
        <w:rPr/>
      </w:pPr>
      <w:r>
        <w:rPr/>
        <w:t>Au cœur de cet agencement se trouvent également les architectures matérielles du calcul — processeurs, circuits spécialisés, accélérateurs dédiés à l’apprentissage automatique — qui conditionnent la capacité même à produire des prédictions et à traiter des volumes massifs de données. La puissance régulatrice ne tient pas seulement aux algorithmes, mais à leur inscription dans des supports matériels capables d’exécuter, d’itérer et d’optimiser à grande échelle.</w:t>
      </w:r>
    </w:p>
    <w:p>
      <w:pPr>
        <w:pStyle w:val="BodyText"/>
        <w:rPr/>
      </w:pPr>
      <w:r>
        <w:rPr/>
        <w:t>Enfin, cette infrastructure repose sur une base extractive rarement intégrée à l’analyse des régimes numériques. L’exploitation de ressources minérales — métaux rares, composants électroniques — et les chaînes industrielles qui les transforment constituent une condition matérielle essentielle de la régulation contemporaine. L’archicratie numérique implique ainsi une redistribution des dépendances, qui relie les centres de calcul aux zones d’extraction, et les espaces de consommation aux territoires de production.</w:t>
      </w:r>
    </w:p>
    <w:p>
      <w:pPr>
        <w:pStyle w:val="BodyText"/>
        <w:rPr/>
      </w:pPr>
      <w:r>
        <w:rPr/>
        <w:t>Ce niveau d’analyse est décisif. Il permet de comprendre que la régulation cybernétique n’est pas seulement une transformation des formes du pouvoir, mais aussi une reconfiguration de ses assises matérielles. La normativité algorithmique ne s’exerce qu’à travers une infrastructure qui capte, transporte, stocke et traite l’information. Elle n’est pas une simple couche logicielle ajoutée au monde social : elle en recompose les conditions physiques d’organisation.</w:t>
      </w:r>
    </w:p>
    <w:p>
      <w:pPr>
        <w:pStyle w:val="BodyText"/>
        <w:rPr/>
      </w:pPr>
      <w:r>
        <w:rPr/>
        <w:t>L’archicratie numérique apparaît ainsi comme une régulation à la fois computationnelle et matérielle. Elle opère par calcul, mais sur la base d’un agencement technique, énergétique et extractif qui en constitue la condition silencieuse. Comprendre cette matérialité, ce n’est pas ajouter un décor à l’analyse : c’est restituer le niveau réel où se joue la possibilité même d’une régulation par la donnée.</w:t>
      </w:r>
    </w:p>
    <w:p>
      <w:pPr>
        <w:pStyle w:val="BodyText"/>
        <w:rPr/>
      </w:pPr>
      <w:r>
        <w:rPr/>
        <w:t>Si l’infrastructure machinique forme le soubassement matériel du régime cybernético-calculatoire, sa fonction régulatrice propre se déploie dans la capacité à anticiper et à orienter les conduites à partir de modèles probabilistes. La régulation ne passe plus prioritairement par l’énoncé de normes explicites, mais par la modélisation des comportements et l’ajustement continu des environnements d’action. Ce déplacement engage une transformation décisive de l’archicration elle-même.</w:t>
      </w:r>
    </w:p>
    <w:p>
      <w:pPr>
        <w:pStyle w:val="BodyText"/>
        <w:rPr/>
      </w:pPr>
      <w:r>
        <w:rPr/>
        <w:t>Dans ses formes antérieures, l’archicration procédait par exposition : la norme était énoncée, discutée, contestée, éventuellement révisée dans des scènes identifiables. Ici, elle tend à s’opérer en amont de toute mise en débat, sous forme d’anticipation intégrée. La régulation ne vise plus d’abord à contraindre ou à interdire, mais à rendre certaines conduites plus probables que d’autres, en redistribuant silencieusement les conditions de leur émergence.</w:t>
      </w:r>
    </w:p>
    <w:p>
      <w:pPr>
        <w:pStyle w:val="BodyText"/>
        <w:rPr/>
      </w:pPr>
      <w:r>
        <w:rPr/>
        <w:t>Cette mutation trouve sa forme la plus nette dans les dispositifs algorithmiques contemporains. Qu’il s’agisse d’attribution de crédit, de gestion logistique, de recommandations culturelles ou de ciblage informationnel, ces systèmes n’imposent pas directement des décisions visibles ; ils organisent des trajectoires. Ils s’appuient sur l’agrégation de données passées, dont ils extraient des régularités statistiques afin de projeter des comportements futurs. Le pouvoir ne se manifeste plus prioritairement comme décision ponctuelle, mais comme capacité à orienter des probabilités.</w:t>
      </w:r>
    </w:p>
    <w:p>
      <w:pPr>
        <w:pStyle w:val="BodyText"/>
        <w:rPr/>
      </w:pPr>
      <w:r>
        <w:rPr/>
        <w:t>Ce déplacement correspond à ce que certains travaux désignent comme gouvernementalité algorithmique : une forme de régulation qui ne s’adresse plus à des sujets comme porteurs de droits ou de devoirs, mais à des profils construits à partir de corrélations. Les individus ne sont plus interpellés comme tels ; ils sont inscrits dans des distributions de probabilité à partir desquelles sont ajustées les conditions de leur action. La norme ne disparaît pas ; elle se déplace dans les modèles qui configurent ces distributions.</w:t>
      </w:r>
    </w:p>
    <w:p>
      <w:pPr>
        <w:pStyle w:val="BodyText"/>
        <w:rPr/>
      </w:pPr>
      <w:r>
        <w:rPr/>
        <w:t>Il en résulte une transformation de la temporalité du pouvoir. Là où la régulation procédait classiquement par décision et par application, elle opère désormais par anticipation et par correction continue. Le présent devient un point d’ajustement entre des passés agrégés et des futurs probabilisés. La régulation n’attend plus l’écart pour intervenir ; elle tend à le préempter en modifiant en amont les conditions dans lesquelles il pourrait se produire.</w:t>
      </w:r>
    </w:p>
    <w:p>
      <w:pPr>
        <w:pStyle w:val="BodyText"/>
        <w:rPr/>
      </w:pPr>
      <w:r>
        <w:rPr/>
        <w:t>Cette logique se manifeste également dans des dispositifs plus discrets, tels que les techniques de design comportemental ou de captation attentionnelle. Ceux-ci n’imposent pas d’obligations explicites ; ils orientent les choix en jouant sur la présentation des options, la hiérarchisation des informations ou l’économie de l’attention. L’action n’est pas empêchée ; elle est canalisée. L’individu n’est pas contraint ; il est guidé dans un espace de possibles déjà structuré.</w:t>
      </w:r>
    </w:p>
    <w:p>
      <w:pPr>
        <w:pStyle w:val="BodyText"/>
        <w:rPr/>
      </w:pPr>
      <w:r>
        <w:rPr/>
        <w:t>L’archicration prédictive se distingue ainsi par un double mouvement. D’une part, elle réduit la nécessité de scènes explicites de confrontation normative : la régulation s’opère en grande partie avant que la norme ne devienne objet de débat. D’autre part, elle rend plus difficile l’identification même des lieux où la norme pourrait être contestée, dans la mesure où celle-ci se trouve disséminée dans des modèles, des interfaces et des paramètres techniques.</w:t>
      </w:r>
    </w:p>
    <w:p>
      <w:pPr>
        <w:pStyle w:val="BodyText"/>
        <w:rPr/>
      </w:pPr>
      <w:r>
        <w:rPr/>
        <w:t>Il ne s’agit pas pour autant d’une disparition de toute conflictualité. Mais celle-ci se trouve déplacée. Elle ne porte plus principalement sur des règles explicitement formulées, mais sur les conditions de production des modèles, sur les données mobilisées, sur les critères implicites de classement et sur les effets différenciés des dispositifs. La régulation devient moins visible comme norme, plus difficilement saisissable comme objet de débat, sans cesser d’exercer des effets structurants sur les conduites.</w:t>
      </w:r>
    </w:p>
    <w:p>
      <w:pPr>
        <w:pStyle w:val="BodyText"/>
        <w:rPr/>
      </w:pPr>
      <w:r>
        <w:rPr/>
        <w:t>L’archicration cybernétique peut ainsi être définie comme une régulation par modulation anticipée des possibles. Elle n’abolit pas la normativité ; elle en transforme les modalités d’exercice. La norme n’est plus seulement ce qui se dit et se discute ; elle devient ce qui s’incorpore dans les conditions mêmes de l’action, sous forme de probabilités, de seuils et d’ajustements continus.</w:t>
      </w:r>
    </w:p>
    <w:p>
      <w:pPr>
        <w:pStyle w:val="BodyText"/>
        <w:rPr/>
      </w:pPr>
      <w:r>
        <w:rPr/>
        <w:t>Ce régime archicratique d’un nouveau type ne supprime pas les trois vecteurs fondamentaux de la régulation ; il en reconfigure l’agencement. L’arcalité, la cratialité et l’archicration ne disparaissent pas : elles se redistribuent dans une topologie différente, moins visible, moins localisable, mais néanmoins opératoire.</w:t>
      </w:r>
    </w:p>
    <w:p>
      <w:pPr>
        <w:pStyle w:val="BodyText"/>
        <w:rPr/>
      </w:pPr>
      <w:r>
        <w:rPr/>
        <w:t>La cratialité, tout d’abord, ne s’exerce plus prioritairement sous la forme d’une contrainte identifiable ou d’un centre de décision. Elle se diffuse dans des dispositifs qui orientent les conduites en amont de toute action explicite. L’exercice du pouvoir ne consiste plus principalement à interdire ou à sanctionner, mais à configurer les conditions dans lesquelles certaines trajectoires deviennent plus accessibles que d’autres. Cette cratialité distribuée opère par seuils, par filtrage, par hiérarchisation implicite des possibles. Elle ne se donne pas comme coercition manifeste ; elle agit comme structuration de l’environnement d’action.</w:t>
      </w:r>
    </w:p>
    <w:p>
      <w:pPr>
        <w:pStyle w:val="BodyText"/>
        <w:rPr/>
      </w:pPr>
      <w:r>
        <w:rPr/>
        <w:t>L’arcalité, quant à elle, ne se présente plus sous la forme d’un principe fondateur explicitement formulé, qu’il soit juridique, politique ou symbolique. Elle se trouve inscrite dans les architectures techniques elles-mêmes. Protocoles, formats de données, structures d’accès, organisation des interfaces : autant d’éléments qui distribuent les positions, hiérarchisent les interactions et définissent les conditions de circulation dans l’espace numérique. Le fondement ne disparaît pas ; il devient immanent à l’agencement technique. Il ne s’énonce plus comme source de légitimité ; il opère comme condition d’organisation.</w:t>
      </w:r>
    </w:p>
    <w:p>
      <w:pPr>
        <w:pStyle w:val="BodyText"/>
        <w:rPr/>
      </w:pPr>
      <w:r>
        <w:rPr/>
        <w:t>L’archicration, enfin, connaît une transformation décisive. Elle ne se déploie plus principalement dans des scènes où la norme est exposée, discutée et contestée. Elle tend à s’intégrer directement dans les dispositifs eux-mêmes, sous forme de modulation continue. La régulation n’attend plus la mise en débat pour se reconfigurer ; elle s’ajuste en permanence à partir des flux de données qu’elle capte. L’exposition de la norme se raréfie, tandis que son opérationnalité s’intensifie. L’archicration ne disparaît pas ; elle devient moins événementielle, plus processuelle.</w:t>
      </w:r>
    </w:p>
    <w:p>
      <w:pPr>
        <w:pStyle w:val="BodyText"/>
        <w:rPr/>
      </w:pPr>
      <w:r>
        <w:rPr/>
        <w:t>Ce déplacement modifie la géométrie d’ensemble du régime. Là où les formes régulatrices antérieures permettaient encore d’identifier des lieux, des moments ou des instances dans lesquels la régulation pouvait être interrogée, le régime cybernétique tend à dissoudre ces points d’appui dans des infrastructures continues. La distinction entre fondement, exercice et mise en épreuve ne s’abolit pas, mais elle devient plus difficile à isoler analytiquement, dans la mesure où ces dimensions se trouvent partiellement intégrées dans un même environnement technique.</w:t>
      </w:r>
    </w:p>
    <w:p>
      <w:pPr>
        <w:pStyle w:val="BodyText"/>
        <w:rPr/>
      </w:pPr>
      <w:r>
        <w:rPr/>
        <w:t>Il en résulte une configuration dans laquelle la régulation apparaît à la fois plus diffuse et plus serrée. Plus diffuse, parce qu’elle ne s’incarne plus dans des instances clairement identifiables ; plus serrée, parce qu’elle intervient de manière plus continue dans la structuration des possibles. Le pouvoir ne se retire pas ; il change de forme. Il ne se manifeste plus prioritairement dans l’exception ou dans la décision, mais dans la constance d’un agencement qui oriente sans cesse les trajectoires.</w:t>
      </w:r>
    </w:p>
    <w:p>
      <w:pPr>
        <w:pStyle w:val="BodyText"/>
        <w:rPr/>
      </w:pPr>
      <w:r>
        <w:rPr/>
        <w:t>La reconfiguration archicratique propre au régime cybernétique peut ainsi être comprise comme un passage d’une régulation fondée sur la séparation relative des vecteurs à une régulation où ceux-ci tendent à s’intégrer dans une même infrastructure. L’arcalité s’incorpore aux architectures, la cratialité se distribue dans les dispositifs, l’archicration s’inscrit dans les processus. Ce n’est pas une disparition du triangle, mais une mutation de sa lisibilité : ce qui était auparavant exposable devient en partie enfoui dans les conditions mêmes de l’action.</w:t>
      </w:r>
    </w:p>
    <w:p>
      <w:pPr>
        <w:pStyle w:val="BodyText"/>
        <w:rPr/>
      </w:pPr>
      <w:r>
        <w:rPr/>
        <w:t>Ce régime archicratique — qui n’a ni souverain visible ni scène spectaculaire — ne doit pas être compris comme une disparition du politique, mais comme une transformation de ses conditions d’exercice. La régulation ne s’y retire pas ; elle se déplace vers des formes moins exposées, moins opposables, mais plus continues et plus intégrées aux environnements d’action.</w:t>
      </w:r>
    </w:p>
    <w:p>
      <w:pPr>
        <w:pStyle w:val="BodyText"/>
        <w:rPr/>
      </w:pPr>
      <w:r>
        <w:rPr/>
        <w:t>Sa spécificité tient à une double mutation. D’une part, la norme cesse d’apparaître principalement comme règle explicite pour se loger dans les conditions mêmes de l’agir : architectures techniques, modèles probabilistes, dispositifs d’interface. D’autre part, les lieux de mise en débat se raréfient ou se déplacent, dans la mesure où la régulation opère en amont, au niveau de la configuration des possibles plutôt que dans celui de leur évaluation explicite.</w:t>
      </w:r>
    </w:p>
    <w:p>
      <w:pPr>
        <w:pStyle w:val="BodyText"/>
        <w:rPr/>
      </w:pPr>
      <w:r>
        <w:rPr/>
        <w:t>Il en résulte une configuration archicratique singulière : une régulation sans centre unifié, mais non sans cohérence ; sans déclaration formelle, mais non sans effets structurants ; sans scène évidente, mais non sans opérativité. La co-viabilité n’y est plus prioritairement soutenue par la loi, la procédure ou la délibération, mais par l’ajustement continu des trajectoires au sein d’environnements calculés.</w:t>
      </w:r>
    </w:p>
    <w:p>
      <w:pPr>
        <w:pStyle w:val="BodyText"/>
        <w:rPr/>
      </w:pPr>
      <w:r>
        <w:rPr/>
        <w:t>Les tensions et les conflits ne disparaissent pas pour autant ; leurs modalités se trouvent profondément déplacées Ceux-ci portent moins sur des normes explicitement formulées que sur les conditions de production des modèles, sur les infrastructures qui les soutiennent et sur les effets différenciés des dispositifs. La conflictualité ne disparaît pas ; elle devient plus diffuse, plus technique, plus difficile à localiser comme telle.</w:t>
      </w:r>
    </w:p>
    <w:p>
      <w:pPr>
        <w:pStyle w:val="BodyText"/>
        <w:rPr/>
      </w:pPr>
      <w:r>
        <w:rPr/>
        <w:t>Le régime cybernético-calculatoire apparaît ainsi comme une configuration limite de l’archicratie : non parce qu’il en abolirait les vecteurs, mais parce qu’il en rend la lisibilité plus incertaine. L’arcalité s’y incorpore aux architectures, la cratialité se distribue dans les dispositifs, l’archicration se déplace vers des processus d’anticipation intégrée.</w:t>
      </w:r>
    </w:p>
    <w:p>
      <w:pPr>
        <w:pStyle w:val="BodyText"/>
        <w:rPr/>
      </w:pPr>
      <w:r>
        <w:rPr/>
        <w:t>C’est en cela que ce régime constitue un seuil. Non pas un aboutissement, mais un point de bascule à partir duquel la question archicratique — celle des conditions de mise en débat, de contestabilité et de révision des normes — se trouve à nouveau posée, mais dans des termes profondément renouvelés. Ce qui se joue ici n’est pas la fin de la régulation, mais la transformation de ses formes d’apparition et, par là même, des possibilités de sa mise à l’épreuve. Un tableau de synthèse présenté en annexe récapitule les traits fondamentaux de cette configuration.</w:t>
      </w:r>
    </w:p>
    <w:p>
      <w:pPr>
        <w:pStyle w:val="Heading2"/>
        <w:numPr>
          <w:ilvl w:val="1"/>
          <w:numId w:val="2"/>
        </w:numPr>
        <w:rPr/>
      </w:pPr>
      <w:r>
        <w:rPr>
          <w:b/>
          <w:bCs/>
        </w:rPr>
        <w:t>Conclusion du chapitre 2 — Archéologie des régimes régulateurs et stabilisation du paradigme archicratique</w:t>
      </w:r>
    </w:p>
    <w:p>
      <w:pPr>
        <w:pStyle w:val="BodyText"/>
        <w:rPr/>
      </w:pPr>
      <w:r>
        <w:rPr/>
        <w:t>Ce deuxième chapitre n’avait pas pour fonction d’ajouter une galerie historique au paradigme archicratique, ni d’illustrer après coup une grille déjà constituée. Sa tâche était plus décisive : éprouver, sur la longue durée et à travers des configurations profondément hétérogènes, la validité réelle d’une hypothèse théorique formulée au chapitre 1. Autrement dit, il s’agissait de savoir si la triade arcalité / cratialité / archicration permet effectivement de décrire, de discriminer et de comparer les manières diverses dont les sociétés humaines ont cherché à rendre la co-viabilité possible. L’enjeu n’était pas mince. Car si cette hypothèse échouait au contact de l’histoire, elle ne serait qu’une élégance conceptuelle de plus. Si, au contraire, elle résistait à l’épreuve des matériaux, des écarts de civilisation, des bascules d’époque et des différences de texture régulatrice, alors elle cesserait d’être une simple proposition théorique pour devenir un véritable opérateur d’intelligibilité historique.</w:t>
      </w:r>
    </w:p>
    <w:p>
      <w:pPr>
        <w:pStyle w:val="BodyText"/>
        <w:rPr/>
      </w:pPr>
      <w:r>
        <w:rPr/>
        <w:t>Cette résistance, toutefois, ne peut être affirmée qu’à une condition : que l’on ne confonde pas survivance de la grille et gain de connaissance. Le chapitre n’autorise donc nul triomphalisme paradigmatique. Ce qu’il établit, plus sobrement mais plus rigoureusement, c’est que la triade archicratique demeure pertinente chaque fois qu’elle permet de distinguer, dans des montages historiques hétérogènes, ce qui rend un ordre recevable, ce qui le fait agir, et ce qui le rend transformable ou non. Là où cette distinction se brouillerait au point de devenir pure commodité d’écriture, le paradigme perdrait sa force. Il ne vaut qu’à proportion de la différence d’intelligibilité qu’il produit effectivement.</w:t>
      </w:r>
    </w:p>
    <w:p>
      <w:pPr>
        <w:pStyle w:val="BodyText"/>
        <w:rPr/>
      </w:pPr>
      <w:r>
        <w:rPr/>
        <w:t>C’est bien ce second résultat qui se laisse désormais affirmer. Le chapitre 2 a confirmé que l’archicratie n’est ni un vocabulaire de surplomb, ni une métaphore commode, ni une abstraction plaquée sur des mondes disparates. Elle constitue une grammaire comparative robuste, capable de rendre lisible une multiplicité de régimes de co-viabilité sans les réduire à une histoire linéaire du pouvoir. En refusant d’emblée les trois dérives majeures qui menaçaient l’enquête — l’évolutionnisme naïf, qui aurait reconduit une marche imaginaire du rite vers l’algorithme ; l’étato-centrisme, qui aurait fait de l’État la forme suprême de toute régulation ; l’économicisme réducteur, qui aurait rabattu l’ordre social sur la seule allocation des ressources — le chapitre a pu faire apparaître autre chose : non pas une montée continue vers des formes prétendument supérieures de gouvernement, mais une pluralité de montages archicratiques, historiquement situés, morphologiquement distincts, parfois concurrents, souvent composites, toujours révélateurs d’une même exigence anthropologico-politique, celle de faire tenir ensemble des existences exposées à la tension.</w:t>
      </w:r>
    </w:p>
    <w:p>
      <w:pPr>
        <w:pStyle w:val="BodyText"/>
        <w:rPr/>
      </w:pPr>
      <w:r>
        <w:rPr/>
        <w:t>La première grande leçon de cette archéogenèse est ainsi d’ordre méthodologique et ontologique tout à la fois : la régulation précède le politique institué. Non pas au sens où il existerait, avant toute histoire, une essence régulatrice pure ; mais au sens plus rigoureux où les formes explicites du pouvoir — État, souveraineté, constitution, administration, marché, gouvernement — s’adossent toujours à des pratiques de co-viabilité plus anciennes, plus diffuses, parfois moins visibles, qui conditionnent leur possibilité même. Bien avant que les sociétés ne se pensent en termes de droit, de représentation ou d’appareil politique, elles avaient déjà élaboré des dispositifs symboliques, rituels, spatiaux, techniques, scripturaux, narratifs, savants ou agonistiques capables de différer la violence, d’orienter les conduites, de distribuer les places, de rendre les tensions supportables. Le politique institué ne surgit donc jamais sur un sol nu. Il se sédimente sur des architectures régulatrices préalables, dont il réorganise la visibilité, la portée et les modes d’activation sans jamais les abolir complètement.</w:t>
      </w:r>
    </w:p>
    <w:p>
      <w:pPr>
        <w:pStyle w:val="BodyText"/>
        <w:rPr/>
      </w:pPr>
      <w:r>
        <w:rPr/>
        <w:t>La seconde leçon tient à la typologie elle-même. La section 2.2 a permis de dégager douze méta-régimes archicratiques spécifiques, prolongés par un treizième plan différentiel-hybride. Leur fonction n’était pas de distribuer des stades de développement, encore moins de classer les sociétés selon une échelle implicite de maturité. Ils ont plutôt configuré un espace de possibilités morphologiques. Chaque régime y apparaît comme une manière singulière de composer fondement, puissance et scène d’épreuve. Ici, la co-viabilité repose sur la mémoire vive, le geste, le rythme et l’incorporation symbolique ; là, sur la médiation sacrale non étatique ; ailleurs, sur l’agencement techno-logistique des flux, sur l’inscription scripturo-normative, sur l’alignement scripturo-cosmologique, sur la parole révélée, sur la mémoire historiographique, sur la validation épistémique, sur le partage du sensible, sur la formulation normativo-politique, sur l’équivalence marchande ou sur l’épreuve guerrière. À chaque fois, ce ne sont pas seulement des contenus qui changent, mais la manière même dont le monde commun se rend fondable, opératoire et contestable.</w:t>
      </w:r>
    </w:p>
    <w:p>
      <w:pPr>
        <w:pStyle w:val="BodyText"/>
        <w:rPr/>
      </w:pPr>
      <w:r>
        <w:rPr/>
        <w:t>Le chapitre a montré que ces dénominations sont insuffisantes si l’on ne les réinscrit pas dans une analyse plus profonde des modes de régulation qui les sous-tendent. Une cité peut mobiliser plusieurs régimes à la fois ; un empire peut tenir par autre chose que la seule centralisation ; une démocratie peut reconduire des mécanismes de tri, de conditionnalité et de captation ; un régime numérique peut réguler sans se déclarer comme forme politique autonome. La réalité historique ne s’ordonne donc pas selon des silhouettes institutionnelles immédiatement reconnaissables, mais selon des compositions variables entre arcalité, cratialité et archicration.</w:t>
      </w:r>
    </w:p>
    <w:p>
      <w:pPr>
        <w:pStyle w:val="BodyText"/>
        <w:rPr/>
      </w:pPr>
      <w:r>
        <w:rPr/>
        <w:t>La troisième leçon, plus décisive encore, concerne l’archicration elle-même. Le chapitre confirme qu’il faut réserver ce concept à un phénomène précis et exigeant. Toute régulation n’est pas archicration. Il peut exister de la régulation dans l’opacité, dans l’immédiateté, dans la pure inertie d’un agencement, dans la simple coordination logistique, dans la violence silencieuse d’un tri, dans l’intériorisation des contraintes ou dans la diffusion d’une norme incorporée. L’archicration, elle, commence lorsque se forme une scène d’épreuve différée, visible, opposable, dans laquelle la relation entre ce qui fonde et ce qui opère devient en quelque sorte comparable à elle-même, exposée à la reprise, à la contradiction, à la révision ou à la requalification. Ce point est capital, parce qu’il évite de dissoudre le concept dans une synonymie vague avec « régulation » ou « gouvernance ». Le chapitre 2 a précisément donné à voir que certaines sociétés régulent beaucoup sans archicration forte, tandis que d’autres instituent des scènes où les fondements et les puissances peuvent, au moins partiellement, comparaître.</w:t>
      </w:r>
    </w:p>
    <w:p>
      <w:pPr>
        <w:pStyle w:val="BodyText"/>
        <w:rPr/>
      </w:pPr>
      <w:r>
        <w:rPr/>
        <w:t>C’est ici qu’apparaît la portée heuristique de la figure d’</w:t>
      </w:r>
      <w:r>
        <w:rPr>
          <w:i/>
          <w:iCs/>
        </w:rPr>
        <w:t>homo archicraticus</w:t>
      </w:r>
      <w:r>
        <w:rPr/>
        <w:t>. Il ne s’agit évidemment pas d’une essence anthropologique intemporelle, mais d’un opérateur de lecture. L’animal humain n’apparaît plus seulement comme sujet de souveraineté, de représentation, de décision ou d’intérêt, mais comme vivant pris dans des dispositifs de co-viabilité, affecté par des scènes où se négocient les conditions de sa participation au monde commun. Le chapitre a donné à voir des sujets très différents — initiés, fidèles, scribes, guerriers, citoyens, justiciables, travailleurs, bénéficiaires, usagers, profils calculés — mais tous étaient traversés par des montages qui les rendaient plus ou moins aptes à tenir, supporter, habiter ou contester leur monde. L’originalité du paradigme archicratique est là : il ne demande pas d’abord ce qu’est le pouvoir en soi, ni qui l’exerce, ni quel en est le titulaire légitime, mais comment une société organise la tenue effective de la coexistence sous tension.</w:t>
      </w:r>
    </w:p>
    <w:p>
      <w:pPr>
        <w:pStyle w:val="BodyText"/>
        <w:rPr/>
      </w:pPr>
      <w:r>
        <w:rPr/>
        <w:t>La section 2.3 a ensuite permis d’éprouver ce cadre dans l’épaisseur historique. L’Antiquité n’y apparaissait plus comme berceau abstrait du politique, mais comme champ de différenciation entre plusieurs manières de rendre l’ordre visible, durable et opératoire. Les mondes religieux et suzerains médiévaux ont montré la coexistence de régimes scripturaux, théologiques, historiques et juridico-politiques. Les monarchies renaissantes ont rendu lisible l’épaississement des formes de centralisation, de représentation et de mise en scène de l’autorité. Les régimes disciplinaires et totalitaires ont révélé jusqu’à l’extrême ce qui se produit lorsque la saturation normative prétend rejoindre la fabrication intégrale des conduites et des subjectivités. Les démocraties providentielles, loin d’être des sorties simples hors de la domination, ont fait apparaître d’autres modes de co-viabilité, fondés sur les droits sociaux, la gestion statistique des risques, la bureaucratie procédurale et l’existence, plus ou moins réelle, d’arènes de contestation. Enfin, la configuration cybernétique a déplacé le problème vers un régime où la norme tend à se dissoudre dans l’environnement même de l’action, sous forme d’anticipation, de calcul, de profilage, de modulation et d’intégration infrastructurelle.</w:t>
      </w:r>
    </w:p>
    <w:p>
      <w:pPr>
        <w:pStyle w:val="BodyText"/>
        <w:rPr/>
      </w:pPr>
      <w:r>
        <w:rPr/>
        <w:t>Il importe ici de tenir ensemble deux conséquences, sans en sacrifier aucune. La première est que l’histoire régulatrice n’est pas une marche vers plus de rationalité, de transparence ou de liberté. Elle est stratifiée, bifurquante, traversée de réactivations, de survivances, d’hybridations et de bascules de scène. La seconde est que le paradigme archicratique permet néanmoins d’en lire les logiques profondes sans tomber dans le relativisme descriptif. Tout ne se vaut pas, non parce qu’une philosophie de l’histoire distribuerait des bons et des mauvais points, mais parce que les régimes diffèrent par la manière dont ils rendent possible — ou empêchent — la comparution réglée de leurs propres fondements et de leurs propres puissances. C’est pourquoi l’archicratie ne constitue pas seulement une typologie ; elle fournit aussi une mesure immanente de la tenue ou de l’oblitération des scènes régulatrices.</w:t>
      </w:r>
    </w:p>
    <w:p>
      <w:pPr>
        <w:pStyle w:val="BodyText"/>
        <w:rPr/>
      </w:pPr>
      <w:r>
        <w:rPr/>
        <w:t>Ce point ouvre déjà sur la suite de l’essai. Car si le chapitre 2 a stabilisé le paradigme sur le plan archéologique et comparatif, il n’a pas encore répondu à toutes les questions qu’il soulève. Il a montré que les sociétés humaines inventent des formes très diverses pour rendre la co-viabilité possible ; il a montré aussi qu’aucune de ces formes n’est pure, définitive ou auto-suffisante ; il a enfin clarifié ce qu’il faut entendre rigoureusement par archicration. Mais il laisse désormais apparaître un problème plus aigu : comment évaluer, dans l’histoire concrète et surtout dans le présent, ce qui arrive lorsque ces scènes d’épreuve se fragilisent, se ferment, se ritualisent à vide ou se déplacent dans des infrastructures qui les rendent de moins en moins visibles et de moins en moins contestables ?</w:t>
      </w:r>
    </w:p>
    <w:p>
      <w:pPr>
        <w:pStyle w:val="BodyText"/>
        <w:rPr/>
      </w:pPr>
      <w:r>
        <w:rPr/>
        <w:t>Telle est la thèse la plus importante que ce chapitre nous autorise désormais à soutenir : une société ne tient pas seulement par ses croyances, par ses institutions, par sa force ou par ses savoirs, mais par la qualité de ses régimes de co-viabilité, c’est-à-dire par la manière dont elle agence des fondements recevables, des puissances opératoires et des scènes où leur confrontation peut être reprise sans destruction immédiate du monde commun. Là où cette articulation manque, il peut subsister de la domination, de l’administration, de la circulation, de la prédiction, de la croyance ou de la discipline ; mais la co-viabilité se fragilise. Là où elle se soutient, même conflictuelle, même imparfaite, même asymétrique, un monde peut encore être tenu.</w:t>
      </w:r>
    </w:p>
    <w:p>
      <w:pPr>
        <w:pStyle w:val="BodyText"/>
        <w:spacing w:lineRule="auto" w:line="276" w:before="0" w:after="140"/>
        <w:rPr/>
      </w:pPr>
      <w:r>
        <w:rPr/>
        <w:t>Le chapitre 2 s’achève ainsi sur une stabilisation forte du paradigme archicratique. Non pas sur sa clôture. Il nous donne désormais une cartographie des grandes formes de régulation, une clarification du concept d’archicration, une méthode comparative non téléologique et une hypothèse anthropologico-politique ferme : l’humain est moins d’abord un être de souveraineté qu’un être de co-viabilité problématique. Dès lors, la tâche qui s’ouvre n’est plus de multiplier les archétypes, mais de comprendre comment ces régimes se tendent, se heurtent, se décomposent ou se recomposent dans les mondes historiques et contemporains. Autrement dit : après l’archéogenèse, la critique ; après la cartographie des formes, l’examen de leurs tensions internes, de leurs seuils de rupture et de leurs devenirs.</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Courier New">
    <w:charset w:val="01"/>
    <w:family w:val="modern"/>
    <w:pitch w:val="fixed"/>
  </w:font>
  <w:font w:name="Wingding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4">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val="bestFit" w:percent="197"/>
  <w:embedSystemFonts/>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2"/>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
    <w:next w:val="BodyText"/>
    <w:qFormat/>
    <w:pPr>
      <w:numPr>
        <w:ilvl w:val="1"/>
        <w:numId w:val="2"/>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
    <w:next w:val="BodyText"/>
    <w:qFormat/>
    <w:pPr>
      <w:numPr>
        <w:ilvl w:val="2"/>
        <w:numId w:val="2"/>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
    <w:next w:val="BodyText"/>
    <w:qFormat/>
    <w:pPr>
      <w:numPr>
        <w:ilvl w:val="3"/>
        <w:numId w:val="2"/>
      </w:numPr>
      <w:spacing w:lineRule="auto" w:line="276" w:before="0" w:after="140"/>
      <w:outlineLvl w:val="3"/>
    </w:pPr>
    <w:rPr>
      <w:rFonts w:ascii="Liberation Serif" w:hAnsi="Liberation Serif" w:eastAsia="Songti SC" w:cs="Arial Unicode MS"/>
      <w:b/>
      <w:bCs/>
      <w:sz w:val="32"/>
      <w:szCs w:val="24"/>
    </w:rPr>
  </w:style>
  <w:style w:type="paragraph" w:styleId="Heading5">
    <w:name w:val="heading 5"/>
    <w:basedOn w:val="Titreuser"/>
    <w:next w:val="BodyText"/>
    <w:qFormat/>
    <w:pPr>
      <w:numPr>
        <w:ilvl w:val="4"/>
        <w:numId w:val="1"/>
      </w:numPr>
      <w:spacing w:before="120" w:after="60"/>
      <w:outlineLvl w:val="4"/>
    </w:pPr>
    <w:rPr>
      <w:b/>
      <w:bCs/>
      <w:sz w:val="24"/>
      <w:szCs w:val="24"/>
    </w:rPr>
  </w:style>
  <w:style w:type="paragraph" w:styleId="Heading6">
    <w:name w:val="heading 6"/>
    <w:basedOn w:val="Titreuser"/>
    <w:next w:val="BodyText"/>
    <w:qFormat/>
    <w:pPr>
      <w:numPr>
        <w:ilvl w:val="5"/>
        <w:numId w:val="1"/>
      </w:numPr>
      <w:spacing w:before="60" w:after="60"/>
      <w:outlineLvl w:val="5"/>
    </w:pPr>
    <w:rPr>
      <w:b/>
      <w:bCs/>
      <w:i/>
      <w:iCs/>
      <w:sz w:val="24"/>
      <w:szCs w:val="24"/>
    </w:rPr>
  </w:style>
  <w:style w:type="character" w:styleId="Strong">
    <w:name w:val="Strong"/>
    <w:qFormat/>
    <w:rPr>
      <w:b/>
      <w:bCs/>
    </w:rPr>
  </w:style>
  <w:style w:type="character" w:styleId="Emphasis">
    <w:name w:val="Emphasis"/>
    <w:qFormat/>
    <w:rPr>
      <w:i/>
      <w:i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Textesourceuser">
    <w:name w:val="Texte source (user)"/>
    <w:qFormat/>
    <w:rPr>
      <w:rFonts w:ascii="Liberation Mono" w:hAnsi="Liberation Mono" w:eastAsia="Liberation Mono" w:cs="Liberation Mono"/>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character" w:styleId="KeywordTok" w:customStyle="1">
    <w:name w:val="KeywordTok"/>
    <w:qFormat/>
    <w:rPr>
      <w:b/>
      <w:color w:val="007020"/>
    </w:rPr>
  </w:style>
  <w:style w:type="character" w:styleId="DataTypeTok" w:customStyle="1">
    <w:name w:val="DataTypeTok"/>
    <w:qFormat/>
    <w:rPr>
      <w:color w:val="902000"/>
    </w:rPr>
  </w:style>
  <w:style w:type="character" w:styleId="DecValTok" w:customStyle="1">
    <w:name w:val="DecValTok"/>
    <w:qFormat/>
    <w:rPr>
      <w:color w:val="40A070"/>
    </w:rPr>
  </w:style>
  <w:style w:type="character" w:styleId="BaseNTok" w:customStyle="1">
    <w:name w:val="BaseNTok"/>
    <w:qFormat/>
    <w:rPr>
      <w:color w:val="40A070"/>
    </w:rPr>
  </w:style>
  <w:style w:type="character" w:styleId="FloatTok" w:customStyle="1">
    <w:name w:val="FloatTok"/>
    <w:qFormat/>
    <w:rPr>
      <w:color w:val="40A070"/>
    </w:rPr>
  </w:style>
  <w:style w:type="character" w:styleId="ConstantTok" w:customStyle="1">
    <w:name w:val="ConstantTok"/>
    <w:qFormat/>
    <w:rPr>
      <w:color w:val="880000"/>
    </w:rPr>
  </w:style>
  <w:style w:type="character" w:styleId="CharTok" w:customStyle="1">
    <w:name w:val="CharTok"/>
    <w:qFormat/>
    <w:rPr>
      <w:color w:val="4070A0"/>
    </w:rPr>
  </w:style>
  <w:style w:type="character" w:styleId="SpecialCharTok" w:customStyle="1">
    <w:name w:val="SpecialCharTok"/>
    <w:qFormat/>
    <w:rPr>
      <w:color w:val="4070A0"/>
    </w:rPr>
  </w:style>
  <w:style w:type="character" w:styleId="StringTok" w:customStyle="1">
    <w:name w:val="StringTok"/>
    <w:qFormat/>
    <w:rPr>
      <w:color w:val="4070A0"/>
    </w:rPr>
  </w:style>
  <w:style w:type="character" w:styleId="VerbatimStringTok" w:customStyle="1">
    <w:name w:val="VerbatimStringTok"/>
    <w:qFormat/>
    <w:rPr>
      <w:color w:val="4070A0"/>
    </w:rPr>
  </w:style>
  <w:style w:type="character" w:styleId="SpecialStringTok" w:customStyle="1">
    <w:name w:val="SpecialStringTok"/>
    <w:qFormat/>
    <w:rPr>
      <w:color w:val="BB6688"/>
    </w:rPr>
  </w:style>
  <w:style w:type="character" w:styleId="ImportTok" w:customStyle="1">
    <w:name w:val="ImportTok"/>
    <w:qFormat/>
    <w:rPr>
      <w:b/>
      <w:color w:val="008000"/>
    </w:rPr>
  </w:style>
  <w:style w:type="character" w:styleId="CommentTok" w:customStyle="1">
    <w:name w:val="CommentTok"/>
    <w:qFormat/>
    <w:rPr>
      <w:i/>
      <w:color w:val="60A0B0"/>
    </w:rPr>
  </w:style>
  <w:style w:type="character" w:styleId="DocumentationTok" w:customStyle="1">
    <w:name w:val="DocumentationTok"/>
    <w:qFormat/>
    <w:rPr>
      <w:i/>
      <w:color w:val="BA2121"/>
    </w:rPr>
  </w:style>
  <w:style w:type="character" w:styleId="AnnotationTok" w:customStyle="1">
    <w:name w:val="AnnotationTok"/>
    <w:qFormat/>
    <w:rPr>
      <w:b/>
      <w:i/>
      <w:color w:val="60A0B0"/>
    </w:rPr>
  </w:style>
  <w:style w:type="character" w:styleId="CommentVarTok" w:customStyle="1">
    <w:name w:val="CommentVarTok"/>
    <w:qFormat/>
    <w:rPr>
      <w:b/>
      <w:i/>
      <w:color w:val="60A0B0"/>
    </w:rPr>
  </w:style>
  <w:style w:type="character" w:styleId="OtherTok" w:customStyle="1">
    <w:name w:val="OtherTok"/>
    <w:qFormat/>
    <w:rPr>
      <w:color w:val="007020"/>
    </w:rPr>
  </w:style>
  <w:style w:type="character" w:styleId="FunctionTok" w:customStyle="1">
    <w:name w:val="FunctionTok"/>
    <w:qFormat/>
    <w:rPr>
      <w:color w:val="06287E"/>
    </w:rPr>
  </w:style>
  <w:style w:type="character" w:styleId="VariableTok" w:customStyle="1">
    <w:name w:val="VariableTok"/>
    <w:qFormat/>
    <w:rPr>
      <w:color w:val="19177C"/>
    </w:rPr>
  </w:style>
  <w:style w:type="character" w:styleId="ControlFlowTok" w:customStyle="1">
    <w:name w:val="ControlFlowTok"/>
    <w:qFormat/>
    <w:rPr>
      <w:b/>
      <w:color w:val="007020"/>
    </w:rPr>
  </w:style>
  <w:style w:type="character" w:styleId="OperatorTok" w:customStyle="1">
    <w:name w:val="OperatorTok"/>
    <w:qFormat/>
    <w:rPr>
      <w:color w:val="666666"/>
    </w:rPr>
  </w:style>
  <w:style w:type="character" w:styleId="BuiltInTok" w:customStyle="1">
    <w:name w:val="BuiltInTok"/>
    <w:qFormat/>
    <w:rPr>
      <w:color w:val="008000"/>
    </w:rPr>
  </w:style>
  <w:style w:type="character" w:styleId="ExtensionTok" w:customStyle="1">
    <w:name w:val="ExtensionTok"/>
    <w:qFormat/>
    <w:rPr/>
  </w:style>
  <w:style w:type="character" w:styleId="PreprocessorTok" w:customStyle="1">
    <w:name w:val="PreprocessorTok"/>
    <w:qFormat/>
    <w:rPr>
      <w:color w:val="BC7A00"/>
    </w:rPr>
  </w:style>
  <w:style w:type="character" w:styleId="AttributeTok" w:customStyle="1">
    <w:name w:val="AttributeTok"/>
    <w:qFormat/>
    <w:rPr>
      <w:color w:val="7D9029"/>
    </w:rPr>
  </w:style>
  <w:style w:type="character" w:styleId="RegionMarkerTok" w:customStyle="1">
    <w:name w:val="RegionMarkerTok"/>
    <w:qFormat/>
    <w:rPr/>
  </w:style>
  <w:style w:type="character" w:styleId="InformationTok" w:customStyle="1">
    <w:name w:val="InformationTok"/>
    <w:qFormat/>
    <w:rPr>
      <w:b/>
      <w:i/>
      <w:color w:val="60A0B0"/>
    </w:rPr>
  </w:style>
  <w:style w:type="character" w:styleId="WarningTok" w:customStyle="1">
    <w:name w:val="WarningTok"/>
    <w:qFormat/>
    <w:rPr>
      <w:b/>
      <w:i/>
      <w:color w:val="60A0B0"/>
    </w:rPr>
  </w:style>
  <w:style w:type="character" w:styleId="AlertTok" w:customStyle="1">
    <w:name w:val="AlertTok"/>
    <w:qFormat/>
    <w:rPr>
      <w:b/>
      <w:color w:val="FF0000"/>
    </w:rPr>
  </w:style>
  <w:style w:type="character" w:styleId="ErrorTok" w:customStyle="1">
    <w:name w:val="ErrorTok"/>
    <w:qFormat/>
    <w:rPr>
      <w:b/>
      <w:color w:val="FF0000"/>
    </w:rPr>
  </w:style>
  <w:style w:type="character" w:styleId="NormalTok" w:customStyle="1">
    <w:name w:val="NormalTok"/>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Blocdecitationuser">
    <w:name w:val="Bloc de citation (user)"/>
    <w:basedOn w:val="Normal"/>
    <w:qFormat/>
    <w:pPr>
      <w:spacing w:before="0" w:after="283"/>
      <w:ind w:hanging="0" w:start="567" w:end="567"/>
    </w:pPr>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Texteprformatuser">
    <w:name w:val="Texte préformaté (user)"/>
    <w:basedOn w:val="Normal"/>
    <w:qFormat/>
    <w:pPr>
      <w:spacing w:before="0" w:after="0"/>
    </w:pPr>
    <w:rPr>
      <w:rFonts w:ascii="Liberation Mono" w:hAnsi="Liberation Mono" w:eastAsia="Liberation Mono" w:cs="Liberation Mono"/>
      <w:sz w:val="20"/>
      <w:szCs w:val="20"/>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SourceCode" w:customStyle="1">
    <w:name w:val="Source Code"/>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29883</TotalTime>
  <Application>LibreOffice/26.2.1.2$MacOSX_AARCH64 LibreOffice_project/8399f6259d8c87f40e7255cdb3c9b958f5e08948</Application>
  <AppVersion>15.0000</AppVersion>
  <Pages>98</Pages>
  <Words>54087</Words>
  <Characters>317499</Characters>
  <CharactersWithSpaces>371016</CharactersWithSpaces>
  <Paragraphs>684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2026-04-23T08:32:59Z</dcterms:created>
  <dc:creator/>
  <dc:description/>
  <dc:language>fr-FR</dc:language>
  <cp:lastModifiedBy/>
  <dcterms:modified xsi:type="dcterms:W3CDTF">2026-04-23T08:32:59Z</dcterms:modified>
  <cp:revision>0</cp:revision>
  <dc:subject/>
  <dc:title/>
</cp:coreProperties>
</file>

<file path=docProps/custom.xml><?xml version="1.0" encoding="utf-8"?>
<Properties xmlns="http://schemas.openxmlformats.org/officeDocument/2006/custom-properties" xmlns:vt="http://schemas.openxmlformats.org/officeDocument/2006/docPropsVTypes"/>
</file>