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ettings.xml" ContentType="application/vnd.openxmlformats-officedocument.wordprocessingml.settings+xml"/>
  <Override PartName="/word/theme/theme1.xml" ContentType="application/vnd.openxmlformats-officedocument.theme+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1"/>
        <w:numPr>
          <w:ilvl w:val="0"/>
          <w:numId w:val="2"/>
        </w:numPr>
        <w:spacing w:before="240" w:after="120"/>
        <w:rPr/>
      </w:pPr>
      <w:r>
        <w:rPr/>
        <w:t>Chapitre 1 — Fondements épistémologiques et modélisation</w:t>
      </w:r>
    </w:p>
    <w:p>
      <w:pPr>
        <w:pStyle w:val="BodyText"/>
        <w:rPr/>
      </w:pPr>
      <w:r>
        <w:rPr/>
        <w:t>Si les sciences politiques ont longtemps trouvé leur ancrage et leur légitimité dans l’analyse des institutions formelles du pouvoir – souveraineté, contrat, autorité, représentation – c’est que le politique y était toujours présumé se manifester à travers une scène, un lieu, un sujet, un régime. Le pouvoir y avait des signes, des corps, des textes ; il procédait d’un fondement — Dieu, la volonté générale, la loi, la nation — et d’un opérateur identifié : le prince, le peuple, le juge, l’État. De la théorie de Hobbes à celle de Rawls, en passant par Rousseau ou Habermas, les paradigmes de légitimation sont fondés sur une ontologie de la centralité, de la scène constituante, et d’un sujet instituant dont l’autonomie garantit la normativité du pouvoir.</w:t>
      </w:r>
    </w:p>
    <w:p>
      <w:pPr>
        <w:pStyle w:val="BodyText"/>
        <w:rPr/>
      </w:pPr>
      <w:r>
        <w:rPr/>
        <w:t>Or, ce que nos régimes contemporains de régulation mettent désormais en crise, ce n’est pas tant la scène elle-même, que la possibilité de sa tenue effective. La scène subsiste, peut-être, mais elle est vidée, ritualisée, simulée, remplacée, saturée ou dissoute dans des procédures techniques, des protocoles logistiques, des décisions sans auteurs, des gouvernances algorithmiques. Le pouvoir opère comme s’il n’avait plus à se déclarer, régule sur des justifications faiblement exposables, et agit dans des configurations où la mise en débat est neutralisée, comprimée ou vidée de prise. Non pas qu’il soit tyrannique, autoritaire ou caché au sens classique, mais parce qu’il ne se donne plus à la critique selon les formes instituées de l’opposabilité politique. Cela ne signifie pas que toute scène praticable ait disparu ; cela signifie plutôt que leur repérage, leur préservation et leur réactivation deviennent le problème politique décisif de notre temps.</w:t>
      </w:r>
    </w:p>
    <w:p>
      <w:pPr>
        <w:pStyle w:val="BodyText"/>
        <w:rPr/>
      </w:pPr>
      <w:r>
        <w:rPr/>
        <w:t>Il faut ici prévenir un contresens majeur. L’archicratie ne désigne ni le nom savant des fermetures contemporaines de la scène politique, ni la simple description d’un monde où la régulation opérerait désormais sans comparution. Elle ne nomme pas l’état de fait, désirable ou indésirable, des régulations contemporaines ; elle désigne la condition sous laquelle une régulation peut être dite politiquement habitable. Elle ne se confond donc ni avec les formes actuelles de neutralisation de l’épreuve, ni avec les dispositifs qui poursuivent leur opération tout en comprimant, mimant ou relocalisant hors d’atteinte la scène de leur propre mise en discussion.</w:t>
      </w:r>
    </w:p>
    <w:p>
      <w:pPr>
        <w:pStyle w:val="BodyText"/>
        <w:rPr/>
      </w:pPr>
      <w:r>
        <w:rPr/>
        <w:t>Il faut donc maintenir avec netteté une distinction doctrinale que tout le présent travail suppose. L’archicratie désigne le cadre de viabilité dans lequel fondation, opération et épreuve demeurent suffisamment articulées pour qu’une régulation puisse encore se rendre explicable, opposable et révisable. La désarchicration désigne au contraire le processus par lequel cette articulation se défait : la scène se retire, le différé se contracte, l’opposabilité s’affaiblit, sans que pour autant les régulations cessent d’opérer. Quant à l’autarchicratie, elle nomme la dérive-limite dans laquelle l’ordre régulateur tend à ne plus rencontrer d’autre mesure que sa propre effectuation, en produisant ses critères de validité à même ses procédures, ses instruments et ses résultats.</w:t>
      </w:r>
    </w:p>
    <w:p>
      <w:pPr>
        <w:pStyle w:val="BodyText"/>
        <w:rPr/>
      </w:pPr>
      <w:r>
        <w:rPr/>
        <w:t>Elle n’est pas le concept glorifié d’une mutation silencieuse du pouvoir ; elle est ce par quoi cette mutation devient intelligible comme perte, comme désajustement, comme désarticulation de la tenue politique. C’est seulement à cette condition qu’elle peut fonctionner comme paradigme critique des régulations contemporaines, et non comme leur simple redoublement lexical.</w:t>
      </w:r>
    </w:p>
    <w:p>
      <w:pPr>
        <w:pStyle w:val="BodyText"/>
        <w:rPr/>
      </w:pPr>
      <w:r>
        <w:rPr/>
        <w:t xml:space="preserve">L’ambition de ce chapitre est donc de fonder ce paradigme nouveau, ou plus exactement, de nommer et d’outiller une forme ancienne mais non encore pensée du pouvoir — la régulation contradictoire instituée. Cette forme, nous la nommons </w:t>
      </w:r>
      <w:r>
        <w:rPr>
          <w:i/>
          <w:iCs/>
        </w:rPr>
        <w:t>archicratie</w:t>
      </w:r>
      <w:r>
        <w:rPr/>
        <w:t xml:space="preserve">, non pour désigner un régime de plus, mais pour désigner un méta-régime viable de régulation lorsqu’une triade — </w:t>
      </w:r>
      <w:r>
        <w:rPr>
          <w:i/>
          <w:iCs/>
        </w:rPr>
        <w:t>arcalité</w:t>
      </w:r>
      <w:r>
        <w:rPr/>
        <w:t xml:space="preserve"> (fondation déclarable), </w:t>
      </w:r>
      <w:r>
        <w:rPr>
          <w:i/>
          <w:iCs/>
        </w:rPr>
        <w:t>cratialité</w:t>
      </w:r>
      <w:r>
        <w:rPr/>
        <w:t xml:space="preserve"> (opération traçable), </w:t>
      </w:r>
      <w:r>
        <w:rPr>
          <w:i/>
          <w:iCs/>
        </w:rPr>
        <w:t>archicration</w:t>
      </w:r>
      <w:r>
        <w:rPr/>
        <w:t xml:space="preserve"> (épreuve instituée différée) — se tient en tenségrité, c’est-à-dire en tension dynamique métastable l’un à l’autre.</w:t>
      </w:r>
    </w:p>
    <w:p>
      <w:pPr>
        <w:pStyle w:val="BodyText"/>
        <w:rPr/>
      </w:pPr>
      <w:r>
        <w:rPr/>
        <w:t xml:space="preserve">Les paradigmes classiques — qu’ils soient contractualistes, décisionnistes ou délibératifs — peinent désormais à rendre pleinement compte de ces formes. Le pouvoir n’est plus localisé dans un lieu, il ne procède plus d’une scène constituante unique, il n’est plus incarné par un sujet identifiable. Il opère à travers une multiplicité de dispositifs hétérogènes, qui se soutiennent les uns les autres sans principe transcendant, selon une logique de capture, de redondance, de saturation ou d’euphémisation. Michel Foucault l’avait annoncé dès la fin des années 1970 avec son analyse de la gouvernementalité : « ce qui se met en place, ce n’est plus le droit de faire mourir ou de laisser vivre, mais le pouvoir de faire vivre et de laisser mourir » (1976). Hannah Arendt, bien avant lui, avait déjà diagnostiqué que « la disparition de la scène publique, c’est la disparition de la politique elle-même » (1958). Claude Lefort, dans </w:t>
      </w:r>
      <w:r>
        <w:rPr>
          <w:i/>
          <w:iCs/>
        </w:rPr>
        <w:t>L’Invention démocratique</w:t>
      </w:r>
      <w:r>
        <w:rPr/>
        <w:t>, avait désigné le pouvoir démocratique comme un lieu vide — précisément parce que sa légitimité dépend de la possibilité constante de remise en scène, de re-questionnement, de re-distribution. Mais que reste-t-il lorsque cette vacance est non plus instituante, mais neutralisée par des automatismes ? Lorsque la scène est formellement prévue mais substantiellement empêchée ? Lorsque les voies de recours sont techniques, absconses, et différées jusqu’à l’oubli ?</w:t>
      </w:r>
    </w:p>
    <w:p>
      <w:pPr>
        <w:pStyle w:val="BodyText"/>
        <w:rPr/>
      </w:pPr>
      <w:r>
        <w:rPr/>
        <w:t>Ce que nous voyons proliférer, ce ne sont donc pas des régulations archicratiques au sens fort, mais des configurations de désarchicration, parfois portées jusqu’à la dérive autarchicratique. Il s’agit de dispositifs qui continuent d’opérer tout en neutralisant, mimant ou relocalisant hors d’atteinte la scène de leur propre mise en discussion ; de régulations où les fondements deviennent difficilement exposables, où les motifs se dérobent à l’opposabilité, et où le temps du différé se trouve comprimé, vidé de sa prise ou rendu fictif. Ce qui s’y altère n’est pas l’existence de la régulation, mais sa tenue politique : non parce qu’il n’y aurait plus de normes, de procédures ou de décisions, mais parce que celles-ci tendent à se soustraire à l’épreuve qui les rendrait effectivement discutables.</w:t>
      </w:r>
    </w:p>
    <w:p>
      <w:pPr>
        <w:pStyle w:val="BodyText"/>
        <w:rPr/>
      </w:pPr>
      <w:r>
        <w:rPr/>
        <w:t>Il nous faut alors un paradigme, non pour idéaliser une alternative, mais pour diagnostiquer cette configuration et la rendre intelligible, pensable, opposable. Car c’est bien cela qui définit un paradigme : sa capacité à faire apparaître ce qui était jusque-là neutralisé. Le paradigme archicratique ne vise pas à remplacer les théories classiques du pouvoir, mais à leur adjoindre une grammaire supplémentaire, permettant de nommer ce qui échappait à leurs catégories. Il ne s’agit plus seulement de savoir qui gouverne, mais comment se tiennent les régulations lorsque les légitimations deviennent faiblement visibles, lorsque les scènes instituées sont neutralisées, vidées ou relocalisées hors d’atteinte, et lorsque les temporalités différées de la décision se trouvent comprimées, fictives ou pratiquement supprimées. Il s’agit ainsi de rendre compte des zones grises, des seuils, des bifurcations et des fonctions qui régulent sans jamais statuer.</w:t>
      </w:r>
    </w:p>
    <w:p>
      <w:pPr>
        <w:pStyle w:val="BodyText"/>
        <w:rPr/>
      </w:pPr>
      <w:r>
        <w:rPr/>
        <w:t xml:space="preserve">Dans cette perspective, ce chapitre se donne pour tâche de poser les fondements épistémologiques, conceptuels et politiques du paradigme archicratique. Nous y exposerons son architecture théorique tripolaire — </w:t>
      </w:r>
      <w:r>
        <w:rPr>
          <w:i/>
          <w:iCs/>
        </w:rPr>
        <w:t>arcalité</w:t>
      </w:r>
      <w:r>
        <w:rPr/>
        <w:t xml:space="preserve"> (ce qui fonde), </w:t>
      </w:r>
      <w:r>
        <w:rPr>
          <w:i/>
          <w:iCs/>
        </w:rPr>
        <w:t>cratialité</w:t>
      </w:r>
      <w:r>
        <w:rPr/>
        <w:t xml:space="preserve"> (ce qui opère), </w:t>
      </w:r>
      <w:r>
        <w:rPr>
          <w:i/>
          <w:iCs/>
        </w:rPr>
        <w:t>archicration</w:t>
      </w:r>
      <w:r>
        <w:rPr/>
        <w:t xml:space="preserve"> (ce qui permet la dispute) — ainsi que sa grammaire topologique interne/externe, ses objets de repérage concrets (fonctions, seuils, porteurs, signes, temporalités), et enfin ses critères de validité. Nous chercherons à produire une cartographie intelligible des formes de régulation contemporaine, sans tomber dans le cynisme ni dans l’utopie, mais en nommant avec précision les tensions, les prises, les scènes, les ruptures, les points aveugles.</w:t>
      </w:r>
    </w:p>
    <w:p>
      <w:pPr>
        <w:pStyle w:val="BodyText"/>
        <w:rPr/>
      </w:pPr>
      <w:r>
        <w:rPr/>
        <w:t>Car penser l’archicratie, ce n’est pas inventer un concept : c’est l’extraire du réel pour en faire un outil de diagnostic, un test de viabilité des régulations, et un levier de critique effective des dispositifs. C’est interroger ce qui gouverne à débat neutralisé, ce qui ordonne sur des justifications difficilement exposables, ce qui affecte en se soustrayant aux formes ordinaires de visibilité, de contestation et de reprise. C’est rouvrir la possibilité d’une pensée politique critique du réel.</w:t>
      </w:r>
    </w:p>
    <w:p>
      <w:pPr>
        <w:pStyle w:val="BodyText"/>
        <w:rPr/>
      </w:pPr>
      <w:r>
        <w:rPr/>
        <w:t>Si la modernité politique a trouvé dans la souveraineté représentative son axe structurant, sa fiction fondatrice et sa promesse régulatrice, cette architecture intellectuelle et institutionnelle semble aujourd’hui en proie à une désynchronisation profonde avec les formes effectives de la régulation contemporaine. La souveraineté, dans sa formulation classique — qu’elle s’incarne dans le peuple, la nation, l’État, le contrat ou la loi — présuppose une centralité décisionnelle, une légitimité visible, une continuité symbolique entre le fondement et l’exercice du pouvoir.</w:t>
      </w:r>
    </w:p>
    <w:p>
      <w:pPr>
        <w:pStyle w:val="BodyText"/>
        <w:rPr/>
      </w:pPr>
      <w:r>
        <w:rPr/>
        <w:t>Or, ce que nous observons aujourd’hui dans la majorité des dispositifs régulateurs, c’est moins une crise de la légitimité déclarée de la souveraineté représentative qu’une crise de sa capacité à structurer les prises réelles sur le monde. La scène parlementaire subsiste, mais elle est fréquemment contournée ; les mécanismes électoraux se perpétuent, mais ils échouent souvent à peser sur les déterminations majeures ; les figures institutionnelles traditionnelles persistent, mais elles ne sont plus toujours les lieux effectifs de production, de justification et de révision des normes. Ce déphasage — structurel, et non conjoncturel — ne signifie pas la disparition du politique, mais la transformation de ses modes de régulation.</w:t>
      </w:r>
    </w:p>
    <w:p>
      <w:pPr>
        <w:pStyle w:val="BodyText"/>
        <w:rPr/>
      </w:pPr>
      <w:r>
        <w:rPr/>
        <w:t>À cette crise de la souveraineté s’ajoute l’épuisement des grilles de lecture fondées sur le sujet autonome, contractuel et rationnel, figure centrale de la philosophie politique moderne. La fiction du citoyen-individu, maître de lui-même, capable d’entrer en délibération avec autrui et de participer à une volonté générale informée, n’a plus de prise suffisante sur des architectures décisionnelles automatisées, sur des normes codifiées par délégation, sur des processus algorithmiques opérant à distance ou sans concertation réelle. Le sujet y est souvent affecté avant même d’avoir été informé ; inclus sans être consulté ; contraint sans pouvoir formuler un désaccord effectivement opposable. La subjectivité politique classique se trouve ainsi contournée par des formats de décision qui n’appellent plus nécessairement ni la volonté, ni la délibération, ni même la conscience explicite des sujets affectés.</w:t>
      </w:r>
    </w:p>
    <w:p>
      <w:pPr>
        <w:pStyle w:val="BodyText"/>
        <w:rPr/>
      </w:pPr>
      <w:r>
        <w:rPr/>
        <w:t>Mais cette crise des catégories héritées n’est pas une vacance. Elle signale au contraire l’émergence de formes de régulation dont les prises réelles se redistribuent selon des logiques techno-fonctionnelles, administratives, protocolaires ou computationnelles. Ce ne sont pas des formes qu’il faut appeler archicratiques au sens fort, dès lors qu’elles tendent précisément à soustraire la régulation à la scène d’épreuve ; elles relèvent plutôt de dynamiques de désarchicration, d’archicratistique, ou, lorsqu’elles se referment durablement sur leur propre logique d’exécution, de dérives autarchicratiques.</w:t>
      </w:r>
    </w:p>
    <w:p>
      <w:pPr>
        <w:pStyle w:val="BodyText"/>
        <w:rPr/>
      </w:pPr>
      <w:r>
        <w:rPr/>
        <w:t>Ce que nous voyons proliférer, ce sont des régulations discrètes, réparties, non centralisées, opérant par la norme, le calcul, la procédure, le protocole, l’interface ou le flux : décisions à fondement peu visible, à justification faible, à énonciateur diffus, qui se donnent comme évidences procédurales, injonctions techniques ou impératifs statistiques. L’ordre n’y est plus principalement commandé ; il est implémenté. Il ne se fonde plus toujours dans une loi explicitement débattue ; il s’inscrit dans des chaînes opératoires, des standards, des métriques, des architectures logicielles et des agencements institutionnels partiellement soustraits à l’épreuve.</w:t>
      </w:r>
    </w:p>
    <w:p>
      <w:pPr>
        <w:pStyle w:val="BodyText"/>
        <w:rPr/>
      </w:pPr>
      <w:r>
        <w:rPr/>
        <w:t>Cette montée autarchicratique s’observe dans la prolifération de gouvernances sans contre-pouvoir : agences indépendantes, plateformes numériques, circuits de certification, autorités administratives sans délibération parlementaire effective. Ce sont des formes de régulation qui ne sont pas nécessairement illégales, mais qui échappent progressivement à une mise en scène démocratique substantielle. Le débat n’y est pas frontalement supprimé : il est rendu inopérant. Les délais ne sont pas toujours abolis : ils deviennent insuffisants, fictifs ou impraticables. Les voies de recours ne sont pas nécessairement closes en droit : elles cessent d’être effectivement opposables. L’autarchicratie ne désigne donc pas ici un méta-régime symétrique de l’archicratie, mais la dérive par laquelle des architectures régulatrices continuent d’opérer tout en se soustrayant à la scène d’épreuve, en affaiblissant l’exposition de leurs fondements et en comprimant le politique dans l’exécution performative de leurs propres procédures.</w:t>
      </w:r>
    </w:p>
    <w:p>
      <w:pPr>
        <w:pStyle w:val="BodyText"/>
        <w:rPr/>
      </w:pPr>
      <w:r>
        <w:rPr/>
        <w:t>Mais cette prolifération n’épuise pas le champ des régulations contemporaines : elle rend d’autant plus décisif le repérage des scènes encore tenables, des médiations encore opposables et des prises susceptibles d’être réinstituées.</w:t>
      </w:r>
    </w:p>
    <w:p>
      <w:pPr>
        <w:pStyle w:val="BodyText"/>
        <w:rPr/>
      </w:pPr>
      <w:r>
        <w:rPr/>
        <w:t>Dès lors, ce que ce chapitre propose, ce n’est pas de rebaptiser “archicratie” la non-scène contemporaine, mais de construire un paradigme capable de la diagnostiquer. Le paradigme archicratique n’est pas un paradigme de la non-scène ; il est une grammaire critique permettant de repérer les conditions sous lesquelles une régulation devient fondée, opérante et révisable — ou, au contraire, dérive vers l’opacité, l’indisputabilité et la fermeture autarchicratique. Il ne vise donc pas à célébrer une mutation silencieuse du pouvoir, mais à rendre visibles, pensables et opposables les écarts entre une régulation pleinement archicratique, articulant arcalité, cratialité et archicration, et des dispositifs qui, tout en continuant d’opérer, se soustraient à la scène de leur propre épreuve. C’est à cette condition qu’un tel paradigme peut prétendre à une véritable portée diagnostique, critique et politique.</w:t>
      </w:r>
    </w:p>
    <w:p>
      <w:pPr>
        <w:pStyle w:val="BodyText"/>
        <w:rPr/>
      </w:pPr>
      <w:r>
        <w:rPr/>
        <w:t>Or, pour être valide, un tel paradigme doit être opposable. Il doit permettre de formuler un diagnostic vérifiable, contestable, falsifiable, reproductible, à partir d’objets de repérage identifiables : scènes neutralisées, mimées ou relocalisées hors d’atteinte ; fondements opacifiés, euphémisés ou difficilement exposables ; délais comprimés, fictifs ou pratiquement supprimés ; procédures automatiques ; figures d’intercession techniques. Il doit nommer des configurations typiques : des régimes où tout semble fonctionnel, mais où plus rien ne peut véritablement être remis en cause. Il doit enfin permettre une lecture différenciée du réel, et non une généralisation rhétorique. C’est à cette condition — à la fois théorique, épistémique et politique — que le paradigme archicratique peut s’imposer comme une nouvelle grammaire critique de la régulation contemporaine.</w:t>
      </w:r>
    </w:p>
    <w:p>
      <w:pPr>
        <w:pStyle w:val="BodyText"/>
        <w:rPr/>
      </w:pPr>
      <w:r>
        <w:rPr/>
        <w:t>La crise sanitaire du COVID-19, à cet égard, a constitué une épreuve paradigmatique : décisions exceptionnelles prises en Conseil de défense, sans publication des débats, avec des délais comprimés et un contradictoire fortement réduit ; régulations sociales massives imposées par décret, par indicateurs, par plateformes ; gouvernance par courbe épidémique, avec des justifications largement internalisées dans la logique de l’anticipation sanitaire. Dans ce moment extrême, le paradigme archicratique a révélé sa capacité à lire ce que les catégories classiques ne permettaient plus d’interpréter. De même, dans la gouvernance algorithmique des aides sociales, dans la notation automatique des élèves ou dans la gestion budgétaire par règles européennes automatiques, nous observons des dispositifs où la régulation opère à travers des chaînes de décision faiblement visibles, à scène d’épreuve comprimée ou relocalisée, et à fondements difficilement exposables pour ceux qu’ils affectent. Ce n’est pas la fin du politique ; c’est l’une des formes contemporaines de sa mutation silencieuse. Et c’est cette mutation que le paradigme archicratique nous permet de penser, de cartographier et de critiquer — à condition qu’il se dote d’une architecture rigoureuse, d’une typologie opératoire, d’une exigence de validation et d’un langage partagé.</w:t>
      </w:r>
    </w:p>
    <w:p>
      <w:pPr>
        <w:pStyle w:val="Heading2"/>
        <w:numPr>
          <w:ilvl w:val="1"/>
          <w:numId w:val="2"/>
        </w:numPr>
        <w:rPr/>
      </w:pPr>
      <w:r>
        <w:rPr/>
        <w:t>1.1 — Hypothèse fondatrice : L’archicratie comme paradigme triadique de régulation</w:t>
      </w:r>
    </w:p>
    <w:p>
      <w:pPr>
        <w:pStyle w:val="BodyText"/>
        <w:rPr/>
      </w:pPr>
      <w:r>
        <w:rPr/>
        <w:t xml:space="preserve">Si toute société humaine connaît des formes d’organisation, toute société politique, en revanche, ne devient pensable comme telle qu’à partir du moment où elle institue non seulement des ordres, mais des épreuves de l’ordre. Il ne suffit pas qu’un ordre fonctionne pour être légitime ; il faut qu’il soit soutenu par un fondement déclarable, une force opérante et une scène de dispute. Ce trépied invisible — dont l’oubli ou la dissociation produit la dérive — constitue le socle conceptuel du paradigme archicratique. Il ne s’agit pas ici d’additionner des dimensions empiriques hétérogènes. Notre hypothèse fondatrice est la suivante : toute régulation politiquement viable, dès lors qu’elle demeure discernable, contestable et transmissible, suppose l’articulation de trois registres distincts mais indissociables. C’est cette </w:t>
      </w:r>
      <w:r>
        <w:rPr>
          <w:i/>
          <w:iCs/>
        </w:rPr>
        <w:t>structure tripolaire</w:t>
      </w:r>
      <w:r>
        <w:rPr/>
        <w:t xml:space="preserve"> que nous proposons de désigner comme l’ossature régulatoire de l’archicratie.</w:t>
      </w:r>
    </w:p>
    <w:p>
      <w:pPr>
        <w:pStyle w:val="BodyText"/>
        <w:rPr/>
      </w:pPr>
      <w:r>
        <w:rPr/>
        <w:t xml:space="preserve">Le premier pôle est celui de </w:t>
      </w:r>
      <w:r>
        <w:rPr>
          <w:i/>
          <w:iCs/>
        </w:rPr>
        <w:t>l’arcalité</w:t>
      </w:r>
      <w:r>
        <w:rPr/>
        <w:t xml:space="preserve">. Celle-ci n’est ni une simple légitimation externe, ni une justification rhétorique. Elle désigne la source fondatrice d’un ordre régulateur : ce qui l’installe, ce qui le rend recevable, ce qui l’inscrit dans un horizon de validité. L’arcalité peut être juridique (texte fondateur, norme constitutionnelle), symbolique (mythe, rite, idéal), scientifique (protocole, indicateur), sacrée (divinité, transcendance), ou historique (héritage, mémoire collective). Elle est ce par quoi une régulation se donne une origine et une finalité, ce qui lui confère sa prétention à exister </w:t>
      </w:r>
      <w:r>
        <w:rPr>
          <w:i/>
          <w:iCs/>
        </w:rPr>
        <w:t>comme norme</w:t>
      </w:r>
      <w:r>
        <w:rPr/>
        <w:t>, et non simplement comme fait. L’arcalité est donc toujours invocation : elle articule le passé fondateur à l’avenir projeté, dans une tension qui légitime l’action présente.</w:t>
      </w:r>
    </w:p>
    <w:p>
      <w:pPr>
        <w:pStyle w:val="BodyText"/>
        <w:rPr/>
      </w:pPr>
      <w:r>
        <w:rPr/>
        <w:t xml:space="preserve">Le second pôle est celui de </w:t>
      </w:r>
      <w:r>
        <w:rPr>
          <w:i/>
          <w:iCs/>
        </w:rPr>
        <w:t>la cratialité</w:t>
      </w:r>
      <w:r>
        <w:rPr/>
        <w:t>. La cratialité désigne la capacité effective d’un dispositif à produire des effets dans le monde : son opérativité, sa puissance d’action, sa capacité à structurer, à contraindre, à transformer. Elle inclut les infrastructures matérielles (bâtiments, réseaux, plateformes), les dispositifs techniques (logiciels, bases de données, interfaces), les procédures (circulaires, décrets, codifications), les corps organisés (administrations, directions, opérateurs), ainsi que les flux (budgétaires, logistiques, cognitifs) qui permettent à la régulation de s’effectuer. La cratialité n’est pas nécessairement visible, mais elle est toujours active. Elle est la force sans laquelle la norme reste lettre morte, la capacité sans laquelle le fondement demeure incantation. C’est la force de transformation, mais aussi, potentiellement, celle de capture, de verrouillage ou d’effacement de la scène politique.</w:t>
      </w:r>
    </w:p>
    <w:p>
      <w:pPr>
        <w:pStyle w:val="BodyText"/>
        <w:rPr/>
      </w:pPr>
      <w:r>
        <w:rPr/>
        <w:t xml:space="preserve">Le troisième pôle, enfin, est celui de </w:t>
      </w:r>
      <w:r>
        <w:rPr>
          <w:i/>
          <w:iCs/>
        </w:rPr>
        <w:t>l’archicration</w:t>
      </w:r>
      <w:r>
        <w:rPr/>
        <w:t xml:space="preserve">. Ce néologisme désigne la capacité d’un ordre à se rendre </w:t>
      </w:r>
      <w:r>
        <w:rPr>
          <w:i/>
          <w:iCs/>
        </w:rPr>
        <w:t>disputable</w:t>
      </w:r>
      <w:r>
        <w:rPr/>
        <w:t xml:space="preserve"> : c’est-à-dire à instituer une scène, un moment, un dispositif, où l’ordre peut être mis en épreuve, critiqué, reformulé, contesté, amendé. L’archicration est ce qui rend le pouvoir </w:t>
      </w:r>
      <w:r>
        <w:rPr>
          <w:i/>
          <w:iCs/>
        </w:rPr>
        <w:t>opposable</w:t>
      </w:r>
      <w:r>
        <w:rPr/>
        <w:t>, non dans un sens antagonique, mais dans un sens procédural, différé, dialogique. Elle prend la forme d’un contradictoire institué, d’un recours possible, d’un délai interprétatif, d’un droit de parole, d’un espace de reconfiguration. Là où l’arcalité fonde et où la cratialité opère, l’archicration met à l’épreuve — et c’est par cette mise à l’épreuve qu’elle garantit la viabilité politique du dispositif.</w:t>
      </w:r>
    </w:p>
    <w:p>
      <w:pPr>
        <w:pStyle w:val="BodyText"/>
        <w:rPr/>
      </w:pPr>
      <w:r>
        <w:rPr/>
        <w:t>La force heuristique du paradigme archicratique ne tient donc pas à la simple distinction de ces trois pôles, mais à la discipline de lecture qu’impose leur articulation. Toute enquête doit reconstruire ce qui, dans un dispositif donné, se donne comme fondement, ce qui y opère effectivement, et ce qui rend cette opération contestable, révisable ou opposable. Une scène peut être déclarée sans être praticable ; une opération peut être puissante sans être fondée de manière exposable ; un fondement peut être invoqué sans traverser les chaînes réelles d’effectuation. Le paradigme n’a de fécondité qu’à la condition de maintenir cette triple vigilance.</w:t>
      </w:r>
    </w:p>
    <w:p>
      <w:pPr>
        <w:pStyle w:val="BodyText"/>
        <w:rPr/>
      </w:pPr>
      <w:r>
        <w:rPr/>
        <w:t>Encore faut-il préciser sous quelle discipline minimale cette triade devient opératoire.</w:t>
        <w:br/>
        <w:t>L’hypothèse archicratique n’a de portée qu’à la condition d’être mobilisable comme protocole de lecture. Devant tout dispositif de régulation, l’enquête doit ainsi poser au moins quatre questions élémentaires. Premièrement : qu’est-ce qui, ici, fonde et se présente comme recevable — texte, doctrine, récit, norme, expertise, tradition, indicateur ? Deuxièmement : qu’est-ce qui, ici, opère effectivement — chaîne procédurale, infrastructure, hiérarchie, interface, instrument, protocole, calcul, corps professionnel ? Troisièmement : où, comment et selon quels délais ce qui fonde et ce qui opère peuvent-ils être exposés à une épreuve, à une contradiction, à une révision ? Quatrièmement : cette épreuve est-elle praticable, ou seulement figurée ?</w:t>
      </w:r>
    </w:p>
    <w:p>
      <w:pPr>
        <w:pStyle w:val="BodyText"/>
        <w:rPr/>
      </w:pPr>
      <w:r>
        <w:rPr/>
        <w:t>Ce mini-protocole a une fonction simple : empêcher que l’analyse se satisfasse soit des déclarations de principe, soit des seules performances d’exécution, soit encore des mises en scène procédurales de la contestation. Il oblige à suivre la régulation dans ses trois prises irréductibles, puis à examiner la manière dont elles s’articulent, se disjoignent, se neutralisent ou se soutiennent. Une scène peut être déclarée sans être effective ; une opération peut être puissante sans être fondée de manière exposable ; un fondement peut être proclamé sans traverser les chaînes réelles d’effectuation. C’est à cette condition que le paradigme conserve sa fécondité.</w:t>
      </w:r>
    </w:p>
    <w:p>
      <w:pPr>
        <w:pStyle w:val="BodyText"/>
        <w:rPr/>
      </w:pPr>
      <w:r>
        <w:rPr/>
        <w:t>Il en résulte une exigence de méthode. Lire archicratiquement un dispositif ne revient ni à lui plaquer un schéma, ni à distribuer des labels. Cela consiste à reconstruire, pour chaque cas, l’économie concrète de ses appuis : où se loge l’arcalité, par quoi passe la cratialité, dans quelle scène — si scène il y a — l’archicration peut encore se tenir. C’est à partir de cette discipline minimale de lecture que les trois pôles peuvent maintenant être définis avec toute la rigueur requise.</w:t>
      </w:r>
    </w:p>
    <w:p>
      <w:pPr>
        <w:pStyle w:val="Heading3"/>
        <w:numPr>
          <w:ilvl w:val="2"/>
          <w:numId w:val="2"/>
        </w:numPr>
        <w:rPr/>
      </w:pPr>
      <w:r>
        <w:rPr/>
        <w:t>1.1.1 — Définition rigoureuse des trois pôles</w:t>
      </w:r>
    </w:p>
    <w:p>
      <w:pPr>
        <w:pStyle w:val="BodyText"/>
        <w:rPr/>
      </w:pPr>
      <w:r>
        <w:rPr/>
        <w:t xml:space="preserve">Si l’on veut que le paradigme archicratique soit plus qu’une abstraction spéculative ou une métaphore critique, il faut impérativement que ses trois composantes cardinales soient non seulement définies avec rigueur, mais également rendues identifiables, documentables, opératoires. Le triptyque </w:t>
      </w:r>
      <w:r>
        <w:rPr>
          <w:i/>
          <w:iCs/>
        </w:rPr>
        <w:t>arcalité–cratialité–archicration</w:t>
      </w:r>
      <w:r>
        <w:rPr/>
        <w:t xml:space="preserve"> ne saurait fonctionner comme un schéma décoratif ou une trinité conceptuelle flottante. Chacun de ces pôles doit être saisi comme une dimension </w:t>
      </w:r>
      <w:r>
        <w:rPr>
          <w:i/>
          <w:iCs/>
        </w:rPr>
        <w:t>irréductible</w:t>
      </w:r>
      <w:r>
        <w:rPr/>
        <w:t xml:space="preserve"> de tout dispositif de régulation — un seuil constitutif dont l’absence invalide la scène politique, dont le déséquilibre produit des pathologies, et dont l’articulation conditionne la viabilité d’un ordre. Ce que nous allons entreprendre ici, c’est donc une triple opération : une </w:t>
      </w:r>
      <w:r>
        <w:rPr>
          <w:i/>
          <w:iCs/>
        </w:rPr>
        <w:t>définition théorique fondée</w:t>
      </w:r>
      <w:r>
        <w:rPr/>
        <w:t xml:space="preserve">, une </w:t>
      </w:r>
      <w:r>
        <w:rPr>
          <w:i/>
          <w:iCs/>
        </w:rPr>
        <w:t>détection empirique possible</w:t>
      </w:r>
      <w:r>
        <w:rPr/>
        <w:t xml:space="preserve">, et une </w:t>
      </w:r>
      <w:r>
        <w:rPr>
          <w:i/>
          <w:iCs/>
        </w:rPr>
        <w:t>justification politique nécessaire</w:t>
      </w:r>
      <w:r>
        <w:rPr/>
        <w:t xml:space="preserve"> de ces trois piliers.</w:t>
      </w:r>
    </w:p>
    <w:p>
      <w:pPr>
        <w:pStyle w:val="Heading4"/>
        <w:numPr>
          <w:ilvl w:val="3"/>
          <w:numId w:val="2"/>
        </w:numPr>
        <w:rPr/>
      </w:pPr>
      <w:r>
        <w:rPr>
          <w:b/>
          <w:bCs/>
        </w:rPr>
        <w:t>L’</w:t>
      </w:r>
      <w:r>
        <w:rPr>
          <w:b/>
          <w:bCs/>
          <w:i/>
          <w:iCs/>
        </w:rPr>
        <w:t>arcalité</w:t>
      </w:r>
      <w:r>
        <w:rPr>
          <w:b/>
          <w:bCs/>
        </w:rPr>
        <w:t xml:space="preserve"> : ce qui fonde, légitime, invoque, institue</w:t>
      </w:r>
    </w:p>
    <w:p>
      <w:pPr>
        <w:pStyle w:val="BodyText"/>
        <w:rPr/>
      </w:pPr>
      <w:r>
        <w:rPr/>
        <w:t>L’</w:t>
      </w:r>
      <w:r>
        <w:rPr>
          <w:i/>
          <w:iCs/>
        </w:rPr>
        <w:t>arcalité</w:t>
      </w:r>
      <w:r>
        <w:rPr/>
        <w:t xml:space="preserve"> constitue le premier pôle du paradigme archicratique, et probablement son socle le plus difficile à cerner, tant elle opère à la fois comme fondation instituante, justification régulatrice et horizon de légitimation. Toute régulation, pour être recevable, acceptable ou même simplement durable, suppose en effet un principe d’</w:t>
      </w:r>
      <w:r>
        <w:rPr>
          <w:i/>
          <w:iCs/>
        </w:rPr>
        <w:t>arcalité</w:t>
      </w:r>
      <w:r>
        <w:rPr/>
        <w:t xml:space="preserve">, c’est-à-dire une forme de </w:t>
      </w:r>
      <w:r>
        <w:rPr>
          <w:i/>
          <w:iCs/>
        </w:rPr>
        <w:t>prise</w:t>
      </w:r>
      <w:r>
        <w:rPr/>
        <w:t xml:space="preserve"> fondatrice qui précède, encadre ou structure l’effectuation concrète d’un ordre. Sans </w:t>
      </w:r>
      <w:r>
        <w:rPr>
          <w:i/>
          <w:iCs/>
        </w:rPr>
        <w:t>arcalité</w:t>
      </w:r>
      <w:r>
        <w:rPr/>
        <w:t>, pas d’adhésion possible, pas de stabilité cohérente, pas même de contestation intelligible. Elle est ce qui rend possible la reconnaissance, qu’elle soit volontaire, tacite, imposée ou mimée.</w:t>
      </w:r>
    </w:p>
    <w:p>
      <w:pPr>
        <w:pStyle w:val="BodyText"/>
        <w:rPr/>
      </w:pPr>
      <w:r>
        <w:rPr/>
        <w:t>Mais l’</w:t>
      </w:r>
      <w:r>
        <w:rPr>
          <w:i/>
          <w:iCs/>
        </w:rPr>
        <w:t>arcalité</w:t>
      </w:r>
      <w:r>
        <w:rPr/>
        <w:t xml:space="preserve"> ne se confond ni avec l’autorité, ni avec la souveraineté, ni même avec la source du droit. Elle est plus diffuse, plus profonde, parfois presque silencieuse. Elle ne repose pas nécessairement sur un texte sacré ou une institution solennelle. Elle peut tenir dans un récit partagé, dans un protocole symbolique, dans une logique immanente ou dans une mythologie diffuse. Elle opère souvent sans être nommée. C’est précisément ce qui la rend à la fois puissante et périlleuse : sa naturalisation tend à dissimuler sa construction, à faire passer l’édifice pour l’origine.</w:t>
      </w:r>
    </w:p>
    <w:p>
      <w:pPr>
        <w:pStyle w:val="BodyText"/>
        <w:rPr/>
      </w:pPr>
      <w:r>
        <w:rPr/>
        <w:t>Ces formes tacites ne valent comme arcalité interne que lorsqu’elles orientent effectivement la recevabilité d’un ordre, sa transmission et les conditions sous lesquelles il peut être contesté ; à défaut, elles relèvent d’un simple habitus de coordination et non d’un véritable fondement régulateur.</w:t>
      </w:r>
    </w:p>
    <w:p>
      <w:pPr>
        <w:pStyle w:val="BodyText"/>
        <w:rPr/>
      </w:pPr>
      <w:r>
        <w:rPr/>
        <w:t>Dans l’histoire politique, les formes d’</w:t>
      </w:r>
      <w:r>
        <w:rPr>
          <w:i/>
          <w:iCs/>
        </w:rPr>
        <w:t>arcalité</w:t>
      </w:r>
      <w:r>
        <w:rPr/>
        <w:t xml:space="preserve"> ont été multiples : la monarchie de droit divin reposait sur une </w:t>
      </w:r>
      <w:r>
        <w:rPr>
          <w:i/>
          <w:iCs/>
        </w:rPr>
        <w:t>arcalité</w:t>
      </w:r>
      <w:r>
        <w:rPr/>
        <w:t xml:space="preserve"> sacrée ; les constitutions républicaines sur une </w:t>
      </w:r>
      <w:r>
        <w:rPr>
          <w:i/>
          <w:iCs/>
        </w:rPr>
        <w:t>arcalité</w:t>
      </w:r>
      <w:r>
        <w:rPr/>
        <w:t xml:space="preserve"> contractuelle ou humaniste ; les empires coloniaux sur une </w:t>
      </w:r>
      <w:r>
        <w:rPr>
          <w:i/>
          <w:iCs/>
        </w:rPr>
        <w:t>arcalité</w:t>
      </w:r>
      <w:r>
        <w:rPr/>
        <w:t xml:space="preserve"> raciale ou civilisatrice ; les régimes technocratiques contemporains sur une </w:t>
      </w:r>
      <w:r>
        <w:rPr>
          <w:i/>
          <w:iCs/>
        </w:rPr>
        <w:t>arcalité</w:t>
      </w:r>
      <w:r>
        <w:rPr/>
        <w:t xml:space="preserve"> de compétence ou de rationalité instrumentale. Mais ces formes ne sont pas mutuellement exclusives. Un même ordre peut mobiliser plusieurs sources d’</w:t>
      </w:r>
      <w:r>
        <w:rPr>
          <w:i/>
          <w:iCs/>
        </w:rPr>
        <w:t>arcalité</w:t>
      </w:r>
      <w:r>
        <w:rPr/>
        <w:t xml:space="preserve"> simultanées — parfois convergentes, parfois contradictoires. C’est dans cette pluralité que se nouent les tensions fondamentales de la régulation contemporaine.</w:t>
      </w:r>
    </w:p>
    <w:p>
      <w:pPr>
        <w:pStyle w:val="BodyText"/>
        <w:rPr/>
      </w:pPr>
      <w:r>
        <w:rPr/>
        <w:t xml:space="preserve">Il faut donc affirmer clairement : </w:t>
      </w:r>
      <w:r>
        <w:rPr>
          <w:i/>
          <w:iCs/>
        </w:rPr>
        <w:t>l’arcalité n’est jamais une abstraction métaphysique</w:t>
      </w:r>
      <w:r>
        <w:rPr/>
        <w:t xml:space="preserve">. Elle se donne toujours à voir — ou à déduire — par des objets concrets, des textes, des procédures, des figures, des lieux. Elle peut se manifester sous forme de </w:t>
      </w:r>
      <w:r>
        <w:rPr>
          <w:i/>
          <w:iCs/>
        </w:rPr>
        <w:t>chartes</w:t>
      </w:r>
      <w:r>
        <w:rPr/>
        <w:t xml:space="preserve">, de </w:t>
      </w:r>
      <w:r>
        <w:rPr>
          <w:i/>
          <w:iCs/>
        </w:rPr>
        <w:t>préambules</w:t>
      </w:r>
      <w:r>
        <w:rPr/>
        <w:t xml:space="preserve">, de </w:t>
      </w:r>
      <w:r>
        <w:rPr>
          <w:i/>
          <w:iCs/>
        </w:rPr>
        <w:t>récits fondateurs</w:t>
      </w:r>
      <w:r>
        <w:rPr/>
        <w:t xml:space="preserve">, de </w:t>
      </w:r>
      <w:r>
        <w:rPr>
          <w:i/>
          <w:iCs/>
        </w:rPr>
        <w:t>rites d’investiture</w:t>
      </w:r>
      <w:r>
        <w:rPr/>
        <w:t xml:space="preserve">, de </w:t>
      </w:r>
      <w:r>
        <w:rPr>
          <w:i/>
          <w:iCs/>
        </w:rPr>
        <w:t>serments collectifs</w:t>
      </w:r>
      <w:r>
        <w:rPr/>
        <w:t xml:space="preserve">, de </w:t>
      </w:r>
      <w:r>
        <w:rPr>
          <w:i/>
          <w:iCs/>
        </w:rPr>
        <w:t>mythes institutionnalisés</w:t>
      </w:r>
      <w:r>
        <w:rPr/>
        <w:t xml:space="preserve">, ou encore de </w:t>
      </w:r>
      <w:r>
        <w:rPr>
          <w:i/>
          <w:iCs/>
        </w:rPr>
        <w:t>grilles doctrinales</w:t>
      </w:r>
      <w:r>
        <w:rPr/>
        <w:t>. Ces formes sont les signes métonymiques de l’arcalité. Elles ne l’épuisent pas, mais en signalent la présence.</w:t>
      </w:r>
    </w:p>
    <w:p>
      <w:pPr>
        <w:pStyle w:val="BodyText"/>
        <w:rPr/>
      </w:pPr>
      <w:r>
        <w:rPr/>
        <w:t xml:space="preserve">Cependant, pour une lecture critique, il ne suffit pas de constater leur existence. Il faut encore savoir </w:t>
      </w:r>
      <w:r>
        <w:rPr>
          <w:i/>
          <w:iCs/>
        </w:rPr>
        <w:t>où</w:t>
      </w:r>
      <w:r>
        <w:rPr/>
        <w:t xml:space="preserve">, </w:t>
      </w:r>
      <w:r>
        <w:rPr>
          <w:i/>
          <w:iCs/>
        </w:rPr>
        <w:t>comment</w:t>
      </w:r>
      <w:r>
        <w:rPr/>
        <w:t xml:space="preserve">, </w:t>
      </w:r>
      <w:r>
        <w:rPr>
          <w:i/>
          <w:iCs/>
        </w:rPr>
        <w:t>par qui</w:t>
      </w:r>
      <w:r>
        <w:rPr/>
        <w:t xml:space="preserve">, </w:t>
      </w:r>
      <w:r>
        <w:rPr>
          <w:i/>
          <w:iCs/>
        </w:rPr>
        <w:t>avec quels effets</w:t>
      </w:r>
      <w:r>
        <w:rPr/>
        <w:t xml:space="preserve"> l’arcalité est invoquée, maintenue, reproduite ou déclinée. C’est pourquoi l’analyse archicratique exige une grammaire plus fine : l’arcalité peut être interne — lorsqu’elle est produite, soutenue ou référée </w:t>
      </w:r>
      <w:r>
        <w:rPr>
          <w:i/>
          <w:iCs/>
        </w:rPr>
        <w:t>par</w:t>
      </w:r>
      <w:r>
        <w:rPr/>
        <w:t xml:space="preserve"> le dispositif qu’elle régule (comme une éthique professionnelle propre, une constitution interne, une doctrine auto-référentielle) ; ou externe — lorsqu’elle est importée, projetée ou surplombante (comme un traité international, un standard global, une norme transculturelle). Ces deux modalités ne sont pas exclusives. Elles coexistent souvent, mais selon des agencements très différents selon les régimes.</w:t>
      </w:r>
    </w:p>
    <w:p>
      <w:pPr>
        <w:pStyle w:val="BodyText"/>
        <w:rPr/>
      </w:pPr>
      <w:r>
        <w:rPr/>
        <w:t>De plus, l’arcalité peut s’ancrer dans des dimensions multiples — politiques, sociales, symboliques, biologiques, technologiques, épistémiques — qu’il conviendra d’analyser rigoureusement. Un même objet peut combiner plusieurs de ces strates. Par exemple, une Constitution n’est pas seulement un texte juridique : elle est un récit, une trace historique, un dispositif de légitimation, une invocation rituelle, un cadre symbolique. Elle mobilise l’arcalité à tous ces niveaux, et c’est dans cette multidimensionnalité que réside sa force — ou sa fragilité.</w:t>
      </w:r>
    </w:p>
    <w:p>
      <w:pPr>
        <w:pStyle w:val="BodyText"/>
        <w:rPr/>
      </w:pPr>
      <w:r>
        <w:rPr/>
        <w:t xml:space="preserve">Enfin, et c’est une exigence essentielle du paradigme archicratique : l’arcalité doit pouvoir être repérée, évaluée, contestée. Autrement dit, elle doit être </w:t>
      </w:r>
      <w:r>
        <w:rPr>
          <w:i/>
          <w:iCs/>
        </w:rPr>
        <w:t>opposable</w:t>
      </w:r>
      <w:r>
        <w:rPr/>
        <w:t>. Il ne s’agit pas d’accepter les fondements comme donnés, mais de construire les outils pour en identifier les signes, en questionner les conditions de possibilité, en analyser les effets. Cela suppose de déployer une typologie catégorielle des arcalités selon leur nature (politique, sociale, psychologique, technologique…), leur position (interne/externe), leurs objets de manifestation (textes, symboles, rites, doctrines…), leurs indicateurs de stabilité ou de mutation (persistance, fréquence, autorité reconnue…), et leur degré d’opposabilité réelle (peut-on les discuter, les modifier, les interpréter autrement ?).</w:t>
      </w:r>
    </w:p>
    <w:p>
      <w:pPr>
        <w:pStyle w:val="BodyText"/>
        <w:rPr/>
      </w:pPr>
      <w:r>
        <w:rPr/>
        <w:t>Cette exigence de formalisation critique rappelle simplement qu’aucune arcalité n’est politiquement innocente. Toute régulation présuppose un fondement, toute arcalité laisse des traces, et toute trace peut être interrogée quant à sa source, sa fonction, ses effets et ses conditions d’opposabilité.</w:t>
      </w:r>
    </w:p>
    <w:p>
      <w:pPr>
        <w:pStyle w:val="BodyText"/>
        <w:rPr/>
      </w:pPr>
      <w:r>
        <w:rPr/>
        <w:t>C’est dans cette possibilité même de visibilisation, de mise en tension et de mise à l’épreuve que l’arcalité quitte le domaine de la transcendance pour entrer dans celui de l’analyse politique. Le paradigme archicratique en fait un des trois piliers fondamentaux — non pour l’absolutiser, mais pour en penser la structure, la diversité, les effets et les conditions de contestation.</w:t>
      </w:r>
    </w:p>
    <w:p>
      <w:pPr>
        <w:pStyle w:val="Heading4"/>
        <w:numPr>
          <w:ilvl w:val="3"/>
          <w:numId w:val="2"/>
        </w:numPr>
        <w:rPr/>
      </w:pPr>
      <w:r>
        <w:rPr>
          <w:b/>
          <w:bCs/>
        </w:rPr>
        <w:t xml:space="preserve">La </w:t>
      </w:r>
      <w:r>
        <w:rPr>
          <w:b/>
          <w:bCs/>
          <w:i/>
          <w:iCs/>
        </w:rPr>
        <w:t>cratialité</w:t>
      </w:r>
      <w:r>
        <w:rPr>
          <w:b/>
          <w:bCs/>
        </w:rPr>
        <w:t xml:space="preserve"> : ce qui opère, contraint, transforme, régule</w:t>
      </w:r>
    </w:p>
    <w:p>
      <w:pPr>
        <w:pStyle w:val="BodyText"/>
        <w:rPr/>
      </w:pPr>
      <w:r>
        <w:rPr/>
        <w:t xml:space="preserve">La </w:t>
      </w:r>
      <w:r>
        <w:rPr>
          <w:i/>
          <w:iCs/>
        </w:rPr>
        <w:t>cratialité</w:t>
      </w:r>
      <w:r>
        <w:rPr/>
        <w:t xml:space="preserve"> est le second pôle du paradigme archicratique, et peut-être celui qui se donne le plus immédiatement à voir, car il engage la matérialité active, l’effectuation pratique, la dynamique opératoire de tout dispositif de régulation. Si l’</w:t>
      </w:r>
      <w:r>
        <w:rPr>
          <w:i/>
          <w:iCs/>
        </w:rPr>
        <w:t>arcalité</w:t>
      </w:r>
      <w:r>
        <w:rPr/>
        <w:t xml:space="preserve"> dit </w:t>
      </w:r>
      <w:r>
        <w:rPr>
          <w:i/>
          <w:iCs/>
        </w:rPr>
        <w:t>pourquoi</w:t>
      </w:r>
      <w:r>
        <w:rPr/>
        <w:t xml:space="preserve"> une régulation tient, la </w:t>
      </w:r>
      <w:r>
        <w:rPr>
          <w:i/>
          <w:iCs/>
        </w:rPr>
        <w:t>cratialité</w:t>
      </w:r>
      <w:r>
        <w:rPr/>
        <w:t xml:space="preserve"> dit </w:t>
      </w:r>
      <w:r>
        <w:rPr>
          <w:i/>
          <w:iCs/>
        </w:rPr>
        <w:t>comment</w:t>
      </w:r>
      <w:r>
        <w:rPr/>
        <w:t xml:space="preserve"> elle opère, </w:t>
      </w:r>
      <w:r>
        <w:rPr>
          <w:i/>
          <w:iCs/>
        </w:rPr>
        <w:t>par quoi</w:t>
      </w:r>
      <w:r>
        <w:rPr/>
        <w:t xml:space="preserve"> elle se propage, </w:t>
      </w:r>
      <w:r>
        <w:rPr>
          <w:i/>
          <w:iCs/>
        </w:rPr>
        <w:t>au moyen de quelles forces</w:t>
      </w:r>
      <w:r>
        <w:rPr/>
        <w:t xml:space="preserve"> elle agit. C’est la dimension du faire, du forcer, du transformer. Elle ne suppose pas forcément la violence, mais elle implique toujours une prise, une structure, une chaîne d’exécution, un vecteur d’opération. Elle est ce qui rend la régulation active, efficace, réelle — ou, à l’inverse, inertielle, obsolète ou saturée.</w:t>
      </w:r>
    </w:p>
    <w:p>
      <w:pPr>
        <w:pStyle w:val="BodyText"/>
        <w:rPr/>
      </w:pPr>
      <w:r>
        <w:rPr>
          <w:i/>
          <w:iCs/>
        </w:rPr>
        <w:t>Le terme de cratialité dérive ici du radical grec kratos</w:t>
      </w:r>
      <w:r>
        <w:rPr/>
        <w:t xml:space="preserve"> (le pouvoir comme domination ou capacité d’emprise), à la différence de </w:t>
      </w:r>
      <w:r>
        <w:rPr>
          <w:i/>
          <w:iCs/>
        </w:rPr>
        <w:t>archè</w:t>
      </w:r>
      <w:r>
        <w:rPr/>
        <w:t xml:space="preserve"> (le pouvoir comme commencement, fondement ou principe). La </w:t>
      </w:r>
      <w:r>
        <w:rPr>
          <w:i/>
          <w:iCs/>
        </w:rPr>
        <w:t>cratialité</w:t>
      </w:r>
      <w:r>
        <w:rPr/>
        <w:t xml:space="preserve"> désigne donc la puissance opératoire d’un ordre : sa capacité à s’incarner dans des instruments, des circuits, des corps, des dispositifs techniques ou organisationnels. Elle est la mise en œuvre — mais aussi, bien souvent, la mise en contrainte.</w:t>
      </w:r>
    </w:p>
    <w:p>
      <w:pPr>
        <w:pStyle w:val="BodyText"/>
        <w:rPr/>
      </w:pPr>
      <w:r>
        <w:rPr/>
        <w:t xml:space="preserve">Dans les régimes politiques classiques, on identifie la </w:t>
      </w:r>
      <w:r>
        <w:rPr>
          <w:i/>
          <w:iCs/>
        </w:rPr>
        <w:t>cratialité</w:t>
      </w:r>
      <w:r>
        <w:rPr/>
        <w:t xml:space="preserve"> à l’exécutif : ministère, force publique, budget, bras armé. Mais cette lecture est à la fois trop réductrice et historiquement datée. La </w:t>
      </w:r>
      <w:r>
        <w:rPr>
          <w:i/>
          <w:iCs/>
        </w:rPr>
        <w:t>cratialité</w:t>
      </w:r>
      <w:r>
        <w:rPr/>
        <w:t xml:space="preserve"> contemporaine excède largement les figures classiques du pouvoir d’État. Elle s’incarne dans des </w:t>
      </w:r>
      <w:r>
        <w:rPr>
          <w:i/>
          <w:iCs/>
        </w:rPr>
        <w:t>algorithmes</w:t>
      </w:r>
      <w:r>
        <w:rPr/>
        <w:t xml:space="preserve">, des </w:t>
      </w:r>
      <w:r>
        <w:rPr>
          <w:i/>
          <w:iCs/>
        </w:rPr>
        <w:t>tableaux de bord</w:t>
      </w:r>
      <w:r>
        <w:rPr/>
        <w:t xml:space="preserve">, des </w:t>
      </w:r>
      <w:r>
        <w:rPr>
          <w:i/>
          <w:iCs/>
        </w:rPr>
        <w:t>logiciels d’évaluation</w:t>
      </w:r>
      <w:r>
        <w:rPr/>
        <w:t xml:space="preserve">, des </w:t>
      </w:r>
      <w:r>
        <w:rPr>
          <w:i/>
          <w:iCs/>
        </w:rPr>
        <w:t>systèmes de logistique globale</w:t>
      </w:r>
      <w:r>
        <w:rPr/>
        <w:t xml:space="preserve">, des </w:t>
      </w:r>
      <w:r>
        <w:rPr>
          <w:i/>
          <w:iCs/>
        </w:rPr>
        <w:t>normes ISO</w:t>
      </w:r>
      <w:r>
        <w:rPr/>
        <w:t xml:space="preserve">, des </w:t>
      </w:r>
      <w:r>
        <w:rPr>
          <w:i/>
          <w:iCs/>
        </w:rPr>
        <w:t>actes administratifs unilatéraux</w:t>
      </w:r>
      <w:r>
        <w:rPr/>
        <w:t xml:space="preserve">, des </w:t>
      </w:r>
      <w:r>
        <w:rPr>
          <w:i/>
          <w:iCs/>
        </w:rPr>
        <w:t>marchés publics automatisés</w:t>
      </w:r>
      <w:r>
        <w:rPr/>
        <w:t xml:space="preserve">, des </w:t>
      </w:r>
      <w:r>
        <w:rPr>
          <w:i/>
          <w:iCs/>
        </w:rPr>
        <w:t>protocoles cryptés</w:t>
      </w:r>
      <w:r>
        <w:rPr/>
        <w:t xml:space="preserve">, des </w:t>
      </w:r>
      <w:r>
        <w:rPr>
          <w:i/>
          <w:iCs/>
        </w:rPr>
        <w:t>formulaires numériques inaccessibles</w:t>
      </w:r>
      <w:r>
        <w:rPr/>
        <w:t>. Elle peut être discrète, discrétionnaire, distribuée, voire disséminée jusqu’à devenir opaque. Mais elle est toujours active : elle fait advenir un effet de régulation.</w:t>
      </w:r>
    </w:p>
    <w:p>
      <w:pPr>
        <w:pStyle w:val="BodyText"/>
        <w:rPr/>
      </w:pPr>
      <w:r>
        <w:rPr/>
        <w:t xml:space="preserve">C’est pourquoi la </w:t>
      </w:r>
      <w:r>
        <w:rPr>
          <w:i/>
          <w:iCs/>
        </w:rPr>
        <w:t>cratialité</w:t>
      </w:r>
      <w:r>
        <w:rPr/>
        <w:t xml:space="preserve"> ne saurait être conçue comme un simple rouage intermédiaire entre la fondation (</w:t>
      </w:r>
      <w:r>
        <w:rPr>
          <w:i/>
          <w:iCs/>
        </w:rPr>
        <w:t>arcalité</w:t>
      </w:r>
      <w:r>
        <w:rPr/>
        <w:t>) et la révision (</w:t>
      </w:r>
      <w:r>
        <w:rPr>
          <w:i/>
          <w:iCs/>
        </w:rPr>
        <w:t>archicration</w:t>
      </w:r>
      <w:r>
        <w:rPr/>
        <w:t xml:space="preserve">). Elle n’est ni instrument, ni exécution pure. Elle possède sa logique propre, ses effets d’autonomisation, ses inerties internes, ses formes d’expansion ou de court-circuit. Elle peut fonctionner comme si elle n’avait plus à répondre explicitement de ses justifications — c’est le cas des algorithmes non documentés — et comme si la scène d’épreuve n’avait plus de prise effective sur son cours ordinaire — c’est le cas des procédures automatiques rendues pratiquement non opposables. C’est en cela qu’elle constitue l’un des points névralgiques du basculement archicratique : là où la </w:t>
      </w:r>
      <w:r>
        <w:rPr>
          <w:i/>
          <w:iCs/>
        </w:rPr>
        <w:t>cratialité</w:t>
      </w:r>
      <w:r>
        <w:rPr/>
        <w:t xml:space="preserve"> devient </w:t>
      </w:r>
      <w:r>
        <w:rPr>
          <w:i/>
          <w:iCs/>
        </w:rPr>
        <w:t>indépendante</w:t>
      </w:r>
      <w:r>
        <w:rPr/>
        <w:t xml:space="preserve">, </w:t>
      </w:r>
      <w:r>
        <w:rPr>
          <w:i/>
          <w:iCs/>
        </w:rPr>
        <w:t>autosuffisante</w:t>
      </w:r>
      <w:r>
        <w:rPr/>
        <w:t xml:space="preserve">, </w:t>
      </w:r>
      <w:r>
        <w:rPr>
          <w:i/>
          <w:iCs/>
        </w:rPr>
        <w:t>désarrimée</w:t>
      </w:r>
      <w:r>
        <w:rPr/>
        <w:t>, elle cesse d’être un vecteur de régulation pour devenir un vecteur muet de domination.</w:t>
      </w:r>
    </w:p>
    <w:p>
      <w:pPr>
        <w:pStyle w:val="BodyText"/>
        <w:rPr/>
      </w:pPr>
      <w:r>
        <w:rPr/>
        <w:t>Or, comme l’</w:t>
      </w:r>
      <w:r>
        <w:rPr>
          <w:i/>
          <w:iCs/>
        </w:rPr>
        <w:t>arcalité</w:t>
      </w:r>
      <w:r>
        <w:rPr/>
        <w:t xml:space="preserve">, la </w:t>
      </w:r>
      <w:r>
        <w:rPr>
          <w:i/>
          <w:iCs/>
        </w:rPr>
        <w:t>cratialité</w:t>
      </w:r>
      <w:r>
        <w:rPr/>
        <w:t xml:space="preserve"> se donne elle aussi selon une double topologie : interne et externe. Une </w:t>
      </w:r>
      <w:r>
        <w:rPr>
          <w:i/>
          <w:iCs/>
        </w:rPr>
        <w:t>cratialité</w:t>
      </w:r>
      <w:r>
        <w:rPr/>
        <w:t xml:space="preserve"> est dite </w:t>
      </w:r>
      <w:r>
        <w:rPr>
          <w:i/>
          <w:iCs/>
        </w:rPr>
        <w:t>interne</w:t>
      </w:r>
      <w:r>
        <w:rPr/>
        <w:t xml:space="preserve"> lorsqu’elle repose sur les moyens d’action propres au dispositif : administration, personnels, processus décisionnels, procédures codifiées, infrastructures spécifiques. Elle est dite </w:t>
      </w:r>
      <w:r>
        <w:rPr>
          <w:i/>
          <w:iCs/>
        </w:rPr>
        <w:t>externe</w:t>
      </w:r>
      <w:r>
        <w:rPr/>
        <w:t xml:space="preserve"> lorsqu’elle mobilise des ressources extérieures : cabinets de conseil, normes transnationales, plateformes numériques privées, logistiques externalisées, financements conditionnés, technologies exogènes. Ce clivage interne/externe n’est pas secondaire : il est décisif pour comprendre les asymétries de pouvoir, les dépendances structurelles, les logiques de capture. Un hôpital, par exemple, peut être cratialisé de l’intérieur par son système de codage et ses tableaux d’affectation, ou de l’extérieur par des normes budgétaires européennes ou des logiciels achetés à des firmes privées.</w:t>
      </w:r>
    </w:p>
    <w:p>
      <w:pPr>
        <w:pStyle w:val="BodyText"/>
        <w:rPr/>
      </w:pPr>
      <w:r>
        <w:rPr/>
        <w:t xml:space="preserve">Mais au-delà de cette topologie, la </w:t>
      </w:r>
      <w:r>
        <w:rPr>
          <w:i/>
          <w:iCs/>
        </w:rPr>
        <w:t>cratialité</w:t>
      </w:r>
      <w:r>
        <w:rPr/>
        <w:t xml:space="preserve"> se manifeste également selon des régimes de matérialité spécifiques, que l’on peut typologiser de manière transversale — sans pour autant déborder du registre des sciences politiques. Elle peut être politique (système d’exécution législative, coercition légale), bureaucratique (chaîne de commandement, circulation des actes), technique (infrastructure matérielle, logiciels, plateformes), symbolique (dispositifs de certification, nomenclatures, codages), économique (régulation par les incitations, budgets, subventions, sanctions monétaires), ou épistémique (production d’indicateurs, grilles d’audit, référentiels de qualité). Elle peut se concentrer dans un organe, ou être distribuée dans un réseau.</w:t>
      </w:r>
    </w:p>
    <w:p>
      <w:pPr>
        <w:pStyle w:val="BodyText"/>
        <w:rPr/>
      </w:pPr>
      <w:r>
        <w:rPr/>
        <w:t xml:space="preserve">Chaque </w:t>
      </w:r>
      <w:r>
        <w:rPr>
          <w:i/>
          <w:iCs/>
        </w:rPr>
        <w:t>cratialité</w:t>
      </w:r>
      <w:r>
        <w:rPr/>
        <w:t xml:space="preserve"> laisse des traces spécifiques, que l’analyse archicratique doit savoir lire : </w:t>
      </w:r>
      <w:r>
        <w:rPr>
          <w:i/>
          <w:iCs/>
        </w:rPr>
        <w:t>organigrammes</w:t>
      </w:r>
      <w:r>
        <w:rPr/>
        <w:t xml:space="preserve">, </w:t>
      </w:r>
      <w:r>
        <w:rPr>
          <w:i/>
          <w:iCs/>
        </w:rPr>
        <w:t>circulaires</w:t>
      </w:r>
      <w:r>
        <w:rPr/>
        <w:t xml:space="preserve">, </w:t>
      </w:r>
      <w:r>
        <w:rPr>
          <w:i/>
          <w:iCs/>
        </w:rPr>
        <w:t>protocoles</w:t>
      </w:r>
      <w:r>
        <w:rPr/>
        <w:t xml:space="preserve">, </w:t>
      </w:r>
      <w:r>
        <w:rPr>
          <w:i/>
          <w:iCs/>
        </w:rPr>
        <w:t>outils numériques</w:t>
      </w:r>
      <w:r>
        <w:rPr/>
        <w:t xml:space="preserve">, </w:t>
      </w:r>
      <w:r>
        <w:rPr>
          <w:i/>
          <w:iCs/>
        </w:rPr>
        <w:t>normes d’exécution</w:t>
      </w:r>
      <w:r>
        <w:rPr/>
        <w:t xml:space="preserve">, </w:t>
      </w:r>
      <w:r>
        <w:rPr>
          <w:i/>
          <w:iCs/>
        </w:rPr>
        <w:t>rapports d’évaluation</w:t>
      </w:r>
      <w:r>
        <w:rPr/>
        <w:t xml:space="preserve">, </w:t>
      </w:r>
      <w:r>
        <w:rPr>
          <w:i/>
          <w:iCs/>
        </w:rPr>
        <w:t>structures de chaîne de valeur</w:t>
      </w:r>
      <w:r>
        <w:rPr/>
        <w:t>. Elle est ainsi repérable, documentable, parfois contestable. Mais elle peut aussi se rendre insaisissable, lorsqu’elle s’autonomise dans la technicisation pure, dans la complexité procédurale, ou dans l’évitement politique.</w:t>
      </w:r>
    </w:p>
    <w:p>
      <w:pPr>
        <w:pStyle w:val="BodyText"/>
        <w:rPr/>
      </w:pPr>
      <w:r>
        <w:rPr/>
        <w:t xml:space="preserve">L’un des grands enjeux de notre paradigme est donc de réinscrire la </w:t>
      </w:r>
      <w:r>
        <w:rPr>
          <w:i/>
          <w:iCs/>
        </w:rPr>
        <w:t>cratialité</w:t>
      </w:r>
      <w:r>
        <w:rPr/>
        <w:t xml:space="preserve"> dans une scène intelligible de régulation, en la rendant à la fois visible et confrontable. Cela implique de la désacraliser (toute technologie d’exécution n’est pas neutre), de la cartographier (identifier ses vecteurs réels), et de la mettre en rapport avec l’</w:t>
      </w:r>
      <w:r>
        <w:rPr>
          <w:i/>
          <w:iCs/>
        </w:rPr>
        <w:t>arcalité</w:t>
      </w:r>
      <w:r>
        <w:rPr/>
        <w:t xml:space="preserve"> qui la justifie et l’</w:t>
      </w:r>
      <w:r>
        <w:rPr>
          <w:i/>
          <w:iCs/>
        </w:rPr>
        <w:t>archicration</w:t>
      </w:r>
      <w:r>
        <w:rPr/>
        <w:t xml:space="preserve"> qui pourrait la contester. Car la </w:t>
      </w:r>
      <w:r>
        <w:rPr>
          <w:i/>
          <w:iCs/>
        </w:rPr>
        <w:t>cratialité</w:t>
      </w:r>
      <w:r>
        <w:rPr/>
        <w:t xml:space="preserve"> seule — même parfaitement huilée — ne garantit en rien la justice, la légitimité ou la viabilité d’un dispositif. Elle peut, au contraire, devenir l’instrument d’une opacité profonde d’oppression.</w:t>
      </w:r>
    </w:p>
    <w:p>
      <w:pPr>
        <w:pStyle w:val="BodyText"/>
        <w:rPr/>
      </w:pPr>
      <w:r>
        <w:rPr/>
        <w:t>Nous reprendrons cette cartographie formelle dans la section 1.4, où seront croisées les dimensions de c</w:t>
      </w:r>
      <w:r>
        <w:rPr>
          <w:i/>
          <w:iCs/>
        </w:rPr>
        <w:t>ratialité</w:t>
      </w:r>
      <w:r>
        <w:rPr/>
        <w:t xml:space="preserve"> selon leur nature, leur vecteur, leur topologie, et leur articulation possible avec les deux autres pôles. Mais retenons déjà ceci que toute régulation opère par une </w:t>
      </w:r>
      <w:r>
        <w:rPr>
          <w:i/>
          <w:iCs/>
        </w:rPr>
        <w:t>cratialité</w:t>
      </w:r>
      <w:r>
        <w:rPr/>
        <w:t xml:space="preserve"> ; toute </w:t>
      </w:r>
      <w:r>
        <w:rPr>
          <w:i/>
          <w:iCs/>
        </w:rPr>
        <w:t>cratialité</w:t>
      </w:r>
      <w:r>
        <w:rPr/>
        <w:t xml:space="preserve"> suppose une structure ; et toute structure est politiquement qualifiable.</w:t>
      </w:r>
    </w:p>
    <w:p>
      <w:pPr>
        <w:pStyle w:val="BodyText"/>
        <w:rPr/>
      </w:pPr>
      <w:r>
        <w:rPr/>
        <w:t>Ce n’est pas la performance qui fait la validité politique d’une cratialité, mais sa capacité à être reliée à un fondement exposable et à une scène d’épreuve praticable. Sans ces liens, elle tend à devenir une machinerie efficace, mais politiquement inassignable. C’est cette articulation — tendue, instable, mais nécessaire — qui fait de la cratialité un des points les plus critiques de la régulation contemporaine. Et c’est pourquoi elle exige d’être pensée non seulement comme un vecteur, mais comme un nœud paradigmatique à part entière.</w:t>
      </w:r>
    </w:p>
    <w:p>
      <w:pPr>
        <w:pStyle w:val="Heading4"/>
        <w:numPr>
          <w:ilvl w:val="3"/>
          <w:numId w:val="2"/>
        </w:numPr>
        <w:rPr/>
      </w:pPr>
      <w:r>
        <w:rPr>
          <w:b/>
          <w:bCs/>
        </w:rPr>
        <w:t>L’</w:t>
      </w:r>
      <w:r>
        <w:rPr>
          <w:b/>
          <w:bCs/>
          <w:i/>
          <w:iCs/>
        </w:rPr>
        <w:t>archicration</w:t>
      </w:r>
      <w:r>
        <w:rPr>
          <w:b/>
          <w:bCs/>
        </w:rPr>
        <w:t xml:space="preserve"> : ce qui dispute, conteste, met en épreuve, arbitre</w:t>
      </w:r>
    </w:p>
    <w:p>
      <w:pPr>
        <w:pStyle w:val="BodyText"/>
        <w:rPr/>
      </w:pPr>
      <w:r>
        <w:rPr/>
        <w:t>L’archicration constitue le troisième pôle du paradigme archicratique et, à bien des égards, son point d’incandescence politique : c’est elle qui transforme une régulation en un ordre véritablement politique. Là où l’arcalité fonde et où la cratialité opère, l’archicration institue l’épreuve, ouvre la dispute, rend possible la contestation organisée, et confère à l’ordre de régulation une dimension dialogique et réflexive. Lorsqu’elle est neutralisée, mimée, relocalisée hors d’atteinte ou rendue pratiquement inopérante, la régulation tend à devenir une pure mécanique ; lorsqu’elle est tenue comme scène effective de reprise, elle devient une architecture habitable.</w:t>
      </w:r>
    </w:p>
    <w:p>
      <w:pPr>
        <w:pStyle w:val="BodyText"/>
        <w:rPr/>
      </w:pPr>
      <w:r>
        <w:rPr/>
        <w:t xml:space="preserve">Le terme lui-même est construit à partir de </w:t>
      </w:r>
      <w:r>
        <w:rPr>
          <w:i/>
          <w:iCs/>
        </w:rPr>
        <w:t>ἀρχὴ</w:t>
      </w:r>
      <w:r>
        <w:rPr/>
        <w:t xml:space="preserve"> (principe, origine, autorité) et </w:t>
      </w:r>
      <w:r>
        <w:rPr>
          <w:i/>
          <w:iCs/>
        </w:rPr>
        <w:t>κρατέω</w:t>
      </w:r>
      <w:r>
        <w:rPr/>
        <w:t xml:space="preserve"> (être ou devenir le maître). Il désigne donc la capacité d’un dispositif de régulation à se rendre </w:t>
      </w:r>
      <w:r>
        <w:rPr>
          <w:i/>
          <w:iCs/>
        </w:rPr>
        <w:t>opposable et amendable</w:t>
      </w:r>
      <w:r>
        <w:rPr/>
        <w:t xml:space="preserve"> dans un cadre institué : une instance, un rituel, une temporalité qui permet aux acteurs concernés de formuler, argumenter, contester, reconfigurer. C’est l’anti-mimétisme de la scène : non pas faire semblant d’écouter, mais </w:t>
      </w:r>
      <w:r>
        <w:rPr>
          <w:i/>
          <w:iCs/>
        </w:rPr>
        <w:t>produire les conditions réelles</w:t>
      </w:r>
      <w:r>
        <w:rPr/>
        <w:t xml:space="preserve"> de l’écoute, du délai, du recours, de la révision. L’</w:t>
      </w:r>
      <w:r>
        <w:rPr>
          <w:i/>
          <w:iCs/>
        </w:rPr>
        <w:t>archicration</w:t>
      </w:r>
      <w:r>
        <w:rPr/>
        <w:t xml:space="preserve"> n’est pas une option morale, ni un supplément d’âme procédural ; elle est la condition même de l’habitation politique d’un ordre : la capacité d’en reprendre la maîtrise et d’en rouvrir l’autorité.</w:t>
      </w:r>
    </w:p>
    <w:p>
      <w:pPr>
        <w:pStyle w:val="BodyText"/>
        <w:rPr/>
      </w:pPr>
      <w:r>
        <w:rPr/>
        <w:t>Historiquement, les sociétés se sont dotées de formes d’</w:t>
      </w:r>
      <w:r>
        <w:rPr>
          <w:i/>
          <w:iCs/>
        </w:rPr>
        <w:t>archicration</w:t>
      </w:r>
      <w:r>
        <w:rPr/>
        <w:t xml:space="preserve"> très variées : tribunaux, parlements, assemblées populaires, chambres de recours, médiations rituelles, procédures de droit coutumier, juridictions supra-étatiques. Ce sont des </w:t>
      </w:r>
      <w:r>
        <w:rPr>
          <w:i/>
          <w:iCs/>
        </w:rPr>
        <w:t>scènes instituantes</w:t>
      </w:r>
      <w:r>
        <w:rPr/>
        <w:t xml:space="preserve"> qui ralentissent l’acte, l’exposent, l’ouvrent à la pluralité, et, ce faisant, lui confèrent une légitimité durable. Mais ces scènes peuvent se fermer, se vider, se fragmenter, ou être capturées. Dans les dispositifs archicratiques contemporains, l’archicration est souvent neutralisée, mimée, relocalisée hors d’atteinte ou rendue pratiquement inopérante. On convoque une « consultation publique » dont les résultats sont déjà fixés ; on ouvre une « plateforme participative » dont les algorithmes filtrent les réponses ; on institue des « délais de recours » dont la brièveté ou la complexité les rend impraticables. Il en résulte un effet d’évanescence de la scène : elle est là en apparence, mais elle n’opère plus en réalité.</w:t>
      </w:r>
    </w:p>
    <w:p>
      <w:pPr>
        <w:pStyle w:val="BodyText"/>
        <w:rPr/>
      </w:pPr>
      <w:r>
        <w:rPr/>
        <w:t>C’est pourquoi l’analyse archicratique exige de penser l’</w:t>
      </w:r>
      <w:r>
        <w:rPr>
          <w:i/>
          <w:iCs/>
        </w:rPr>
        <w:t>archicration</w:t>
      </w:r>
      <w:r>
        <w:rPr/>
        <w:t xml:space="preserve"> en tant que </w:t>
      </w:r>
      <w:r>
        <w:rPr>
          <w:i/>
          <w:iCs/>
        </w:rPr>
        <w:t>dimension constitutive</w:t>
      </w:r>
      <w:r>
        <w:rPr/>
        <w:t>, et non comme simple accessoire. Comme pour l’</w:t>
      </w:r>
      <w:r>
        <w:rPr>
          <w:i/>
          <w:iCs/>
        </w:rPr>
        <w:t>arcalité</w:t>
      </w:r>
      <w:r>
        <w:rPr/>
        <w:t xml:space="preserve"> et la </w:t>
      </w:r>
      <w:r>
        <w:rPr>
          <w:i/>
          <w:iCs/>
        </w:rPr>
        <w:t>cratialité</w:t>
      </w:r>
      <w:r>
        <w:rPr/>
        <w:t>, l’</w:t>
      </w:r>
      <w:r>
        <w:rPr>
          <w:i/>
          <w:iCs/>
        </w:rPr>
        <w:t>archicration</w:t>
      </w:r>
      <w:r>
        <w:rPr/>
        <w:t xml:space="preserve"> se déploie selon une double topologie : elle peut être interne — lorsqu’un dispositif institue en son sein des mécanismes de contestation et d’ajustement (conseils délibératifs, commissions de médiation, audits internes, organes de gouvernance participative) — ou externe — lorsqu’il est soumis à des scènes de contrôle ou d’épreuve extérieures (juridictions supranationales, contre-pouvoirs citoyens, presse, ONG, instances internationales). Ces deux modalités sont cruciales : un dispositif peut être très opposable en externe mais totalement fermé en interne, ou inversement. La santé démocratique d’une régulation se mesure à la combinaison des deux.</w:t>
      </w:r>
    </w:p>
    <w:p>
      <w:pPr>
        <w:pStyle w:val="BodyText"/>
        <w:rPr/>
      </w:pPr>
      <w:r>
        <w:rPr/>
        <w:t>Mais, plus encore que pour les deux autres pôles, l’</w:t>
      </w:r>
      <w:r>
        <w:rPr>
          <w:i/>
          <w:iCs/>
        </w:rPr>
        <w:t>archicration</w:t>
      </w:r>
      <w:r>
        <w:rPr/>
        <w:t xml:space="preserve"> possède des dimensions qualitatives et typologiques qu’il faut savoir saisir. Elle peut être politique (assemblées, élections, juridictions), sociale (médiations, associations, syndicats), symbolique (rituels de révision, cérémonies d’investiture inversées), technologique (plateformes de consultation, algorithmes de transparence), culturelle (rites de réconciliation, pratiques de dialogue interculturel), épistémique (revue de pairs, controverses scientifiques organisées), ou territoriale (forums locaux, gouvernance polycentrique). Chaque forme d’</w:t>
      </w:r>
      <w:r>
        <w:rPr>
          <w:i/>
          <w:iCs/>
        </w:rPr>
        <w:t>archicration</w:t>
      </w:r>
      <w:r>
        <w:rPr/>
        <w:t xml:space="preserve"> laisse des indicateurs repérables : délais institués entre décision et exécution, existence de voies de recours, publication des motifs, pluralité des instances de jugement, accessibilité des procédures, degré de transparence des arbitrages.</w:t>
      </w:r>
    </w:p>
    <w:p>
      <w:pPr>
        <w:pStyle w:val="BodyText"/>
        <w:rPr/>
      </w:pPr>
      <w:r>
        <w:rPr/>
        <w:t>L’</w:t>
      </w:r>
      <w:r>
        <w:rPr>
          <w:i/>
          <w:iCs/>
        </w:rPr>
        <w:t>archicration</w:t>
      </w:r>
      <w:r>
        <w:rPr/>
        <w:t xml:space="preserve"> ne se limite pas à ce qui autorise la critique ; elle est ce qui organise la temporalité de la contestation. Elle instaure le </w:t>
      </w:r>
      <w:r>
        <w:rPr>
          <w:i/>
          <w:iCs/>
        </w:rPr>
        <w:t>délai nécessaire</w:t>
      </w:r>
      <w:r>
        <w:rPr/>
        <w:t xml:space="preserve"> à la réflexion, à la mobilisation, à l’argumentation. Elle confère au processus de régulation une </w:t>
      </w:r>
      <w:r>
        <w:rPr>
          <w:i/>
          <w:iCs/>
        </w:rPr>
        <w:t>réversibilité</w:t>
      </w:r>
      <w:r>
        <w:rPr/>
        <w:t xml:space="preserve"> potentielle. Elle est donc une variable temporelle autant qu’institutionnelle. Là où elle est supprimée, le pouvoir se précipite en pure </w:t>
      </w:r>
      <w:r>
        <w:rPr>
          <w:i/>
          <w:iCs/>
        </w:rPr>
        <w:t>cratialité</w:t>
      </w:r>
      <w:r>
        <w:rPr/>
        <w:t xml:space="preserve"> ; là où elle est hypertrophiée, il se paralyse en sur-opposabilité. Le paradigme archicratique nous invite à repérer cette tension, à en cartographier les régimes, à en diagnostiquer les pathologies.</w:t>
      </w:r>
    </w:p>
    <w:p>
      <w:pPr>
        <w:pStyle w:val="BodyText"/>
        <w:rPr/>
      </w:pPr>
      <w:r>
        <w:rPr/>
        <w:t>Enfin, comme pour l’arcalité et la cratialité, l’archicration doit pouvoir être qualifiée selon des repères explicites, éprouvée et, le cas échéant, falsifiée. Il ne suffit pas d’affirmer qu’une scène existe ; il faut interroger sa qualité : est-elle accessible, proportionnée, pluraliste, transparente, effective ? Est-elle un véritable lieu de remise en cause ou une simple mise en scène ? Ces questions sont au cœur de l’analyse archicratique. Elles seront systématisées dans la section 1.6, où nous formulerons des critères d’opposabilité et d’authentification, et testées empiriquement dans les études de cas du chapitre.</w:t>
      </w:r>
    </w:p>
    <w:p>
      <w:pPr>
        <w:pStyle w:val="BodyText"/>
        <w:rPr/>
      </w:pPr>
      <w:r>
        <w:rPr/>
        <w:t>Ainsi, l’</w:t>
      </w:r>
      <w:r>
        <w:rPr>
          <w:i/>
          <w:iCs/>
        </w:rPr>
        <w:t>archicration</w:t>
      </w:r>
      <w:r>
        <w:rPr/>
        <w:t xml:space="preserve"> complète le triptyque fondateur du paradigme archicratique. Privée d’archicration effective, la régulation tend à n’être plus qu’un flux technique ; lorsqu’une scène de reprise demeure praticable, elle redevient un ordre politique. Elle n’est pas un supplément éthique, mais une condition de viabilité. Elle n’est pas un idéal abstrait, mais une variable concrète, observable, localisable, qui signe la différence entre un dispositif gouvernant et un dispositif administrant. Et c’est précisément parce qu’elle est aujourd’hui menacée, neutralisée ou mimée que le paradigme archicratique s’impose : pour rendre visible ce qui se perd, pour diagnostiquer ce qui persiste, et pour imaginer ce qui pourrait s’instituer.</w:t>
      </w:r>
    </w:p>
    <w:p>
      <w:pPr>
        <w:pStyle w:val="BodyText"/>
        <w:rPr/>
      </w:pPr>
      <w:r>
        <w:rPr/>
        <w:t>Les trois prises ne se subsument jamais l’une l’autre : l’</w:t>
      </w:r>
      <w:r>
        <w:rPr>
          <w:i/>
          <w:iCs/>
        </w:rPr>
        <w:t>arcalité</w:t>
      </w:r>
      <w:r>
        <w:rPr/>
        <w:t xml:space="preserve"> fonde, la </w:t>
      </w:r>
      <w:r>
        <w:rPr>
          <w:i/>
          <w:iCs/>
        </w:rPr>
        <w:t>cratialité</w:t>
      </w:r>
      <w:r>
        <w:rPr/>
        <w:t xml:space="preserve"> oblige, l’</w:t>
      </w:r>
      <w:r>
        <w:rPr>
          <w:i/>
          <w:iCs/>
        </w:rPr>
        <w:t>archicration</w:t>
      </w:r>
      <w:r>
        <w:rPr/>
        <w:t xml:space="preserve"> met en controverse réglée. Aucune ne vaut sans les deux autres ; toute lecture binaire serait régressive.</w:t>
      </w:r>
    </w:p>
    <w:p>
      <w:pPr>
        <w:pStyle w:val="Heading3"/>
        <w:numPr>
          <w:ilvl w:val="2"/>
          <w:numId w:val="2"/>
        </w:numPr>
        <w:rPr/>
      </w:pPr>
      <w:r>
        <w:rPr/>
        <w:t>1.1.2 — Objets associés aux trois pôles : corpus, artefacts et marqueurs de repérage</w:t>
      </w:r>
    </w:p>
    <w:p>
      <w:pPr>
        <w:pStyle w:val="BodyText"/>
        <w:rPr/>
      </w:pPr>
      <w:r>
        <w:rPr/>
        <w:t xml:space="preserve">Il ne suffit pas de poser des catégories conceptuelles, aussi robustes soient-elles, pour rendre un paradigme opératoire : il faut leur adjoindre une capacité de repérage, une inscription empirique, une série d’objets tangibles par lesquels elles se laissent saisir, documenter, confronter. Car un paradigme critique n’a de valeur que s’il donne prise sur le réel. Il ne peut pas seulement désigner des logiques abstraites ; il doit cartographier des formes, repérer des signes, identifier des médiations visibles ou latentes. C’est dans cette exigence de matérialisation que s’inscrit cette section : expliciter les objets typiques, les corpus textuels, les artefacts symboliques ou les dispositifs pratiques par lesquels chaque pôle du triptyque archicratique — </w:t>
      </w:r>
      <w:r>
        <w:rPr>
          <w:i/>
          <w:iCs/>
        </w:rPr>
        <w:t>arcalité, cratialité, archicration</w:t>
      </w:r>
      <w:r>
        <w:rPr/>
        <w:t xml:space="preserve"> — se manifeste dans les dispositifs concrets.</w:t>
      </w:r>
    </w:p>
    <w:p>
      <w:pPr>
        <w:pStyle w:val="BodyText"/>
        <w:rPr/>
      </w:pPr>
      <w:r>
        <w:rPr/>
        <w:t>Ces objets ne sont pas de simples illustrations extérieures ; ils constituent les signes métonymiques des trois pôles. Métonymiques, parce qu’ils ne les résument pas, mais en incarnent une propriété structurante. Ils opèrent comme des points de condensation du régime de régulation. Ils sont les marqueurs visibles de ce qui se joue dans les tensions invisibles. Ils permettent à l’analyse politique de quitter le domaine du discours pour entrer dans celui des traces matérielles, des textes codifiés, des procédures instituées, des scènes ou non-scènes où le pouvoir se donne — ou se refuse — à la lecture.</w:t>
      </w:r>
    </w:p>
    <w:p>
      <w:pPr>
        <w:pStyle w:val="Heading4"/>
        <w:numPr>
          <w:ilvl w:val="3"/>
          <w:numId w:val="2"/>
        </w:numPr>
        <w:rPr/>
      </w:pPr>
      <w:r>
        <w:rPr/>
        <w:t>Objets d’</w:t>
      </w:r>
      <w:r>
        <w:rPr>
          <w:i/>
          <w:iCs/>
        </w:rPr>
        <w:t>arcalité</w:t>
      </w:r>
      <w:r>
        <w:rPr/>
        <w:t xml:space="preserve"> : corpus fondateurs, récits de légitimation et signes d’invocation</w:t>
      </w:r>
    </w:p>
    <w:p>
      <w:pPr>
        <w:pStyle w:val="BodyText"/>
        <w:rPr/>
      </w:pPr>
      <w:r>
        <w:rPr/>
        <w:t>Selon nous, l’</w:t>
      </w:r>
      <w:r>
        <w:rPr>
          <w:i/>
          <w:iCs/>
        </w:rPr>
        <w:t>arcalité</w:t>
      </w:r>
      <w:r>
        <w:rPr/>
        <w:t xml:space="preserve"> est toujours déjà incarnée dans des objets, des signes, des textes, des lieux et des gestes. Ce sont ces artefacts qui donnent corps au fondement, qui rendent visible et opératoire la légitimation, qui convertissent un principe en présence. Dans l’histoire politique, aucun ordre n’a existé sans s’adosser à des </w:t>
      </w:r>
      <w:r>
        <w:rPr>
          <w:i/>
          <w:iCs/>
        </w:rPr>
        <w:t>objets arcaux</w:t>
      </w:r>
      <w:r>
        <w:rPr/>
        <w:t xml:space="preserve"> qui en stabilisent le récit, en performent l’autorité et en soutiennent la reproduction. Ils sont à la fois vecteurs matériels, supports symboliques, rites instituants et traces mnésiques. Ils permettent de lire l’</w:t>
      </w:r>
      <w:r>
        <w:rPr>
          <w:i/>
          <w:iCs/>
        </w:rPr>
        <w:t>arcalité</w:t>
      </w:r>
      <w:r>
        <w:rPr/>
        <w:t xml:space="preserve"> non pas comme une pure transcendance, mais comme une pratique politique concrète, localisable, documentée.</w:t>
      </w:r>
    </w:p>
    <w:p>
      <w:pPr>
        <w:pStyle w:val="BodyText"/>
        <w:rPr/>
      </w:pPr>
      <w:r>
        <w:rPr/>
        <w:t xml:space="preserve">Les constitutions écrites en constituent l’exemple canonique : textes fondateurs formulés dans un langage solennel, elles condensent l’invocation d’un peuple, d’un ordre, d’une souveraineté. Mais derrière le texte, il y a toujours une matérialité instituante : promulgation, signature, sceau, archivage, lecture publique, mise en scène rituelle du fondement. De la stèle civique à la charte, du serment à la déclaration, ces objets ne se bornent pas à dire la norme ; ils en instituent la présence, l’autorité et la continuité (Arendt, </w:t>
      </w:r>
      <w:r>
        <w:rPr>
          <w:i/>
          <w:iCs/>
        </w:rPr>
        <w:t>Condition de l’homme moderne</w:t>
      </w:r>
      <w:r>
        <w:rPr/>
        <w:t xml:space="preserve">, 1958 ; Lefort, </w:t>
      </w:r>
      <w:r>
        <w:rPr>
          <w:i/>
          <w:iCs/>
        </w:rPr>
        <w:t>L’invention démocratique</w:t>
      </w:r>
      <w:r>
        <w:rPr/>
        <w:t>, 1981).</w:t>
      </w:r>
    </w:p>
    <w:p>
      <w:pPr>
        <w:pStyle w:val="BodyText"/>
        <w:rPr/>
      </w:pPr>
      <w:r>
        <w:rPr/>
        <w:t>Leur matérialité est décisive : blasons, devises, drapeaux, emblèmes, photographies officielles, tables de valeurs, chartes affichées. Comme l’a montré Bourdieu, l’État ne tient pas seulement par ses agents ou ses lois, mais aussi par les formes symboliques qui rendent son existence perceptible et intériorisable (</w:t>
      </w:r>
      <w:r>
        <w:rPr>
          <w:i/>
          <w:iCs/>
        </w:rPr>
        <w:t>Sur l’État</w:t>
      </w:r>
      <w:r>
        <w:rPr/>
        <w:t>, 1994). Ces objets sont ainsi des métonymies du fondement : ils n’épuisent pas l’arcalité, mais la condensent, la scénarisent et la réactivent.</w:t>
      </w:r>
    </w:p>
    <w:p>
      <w:pPr>
        <w:pStyle w:val="BodyText"/>
        <w:rPr/>
      </w:pPr>
      <w:r>
        <w:rPr/>
        <w:t>Pour l’analyse archicratique, cela implique deux exigences. D’une part, replacer chaque objet d’</w:t>
      </w:r>
      <w:r>
        <w:rPr>
          <w:i/>
          <w:iCs/>
        </w:rPr>
        <w:t>arcalité</w:t>
      </w:r>
      <w:r>
        <w:rPr/>
        <w:t xml:space="preserve"> dans sa topologie interne/externe : </w:t>
      </w:r>
      <w:r>
        <w:rPr>
          <w:i/>
          <w:iCs/>
        </w:rPr>
        <w:t>est-ce une norme auto-référentielle produite par le dispositif lui-même, ou une injonction importée d’un standard extérieur ?</w:t>
      </w:r>
      <w:r>
        <w:rPr/>
        <w:t xml:space="preserve"> D’autre part, élaborer des indicateurs de vitalité : </w:t>
      </w:r>
      <w:r>
        <w:rPr>
          <w:i/>
          <w:iCs/>
        </w:rPr>
        <w:t>l’objet est-il encore mobilisé par les acteurs ? suscite-t-il des interprétations concurrentes ? peut-il être contesté ou amendé ? ou bien est-il devenu un décor, un rite creux, un simple logo ?</w:t>
      </w:r>
    </w:p>
    <w:p>
      <w:pPr>
        <w:pStyle w:val="BodyText"/>
        <w:rPr/>
      </w:pPr>
      <w:r>
        <w:rPr/>
        <w:t>C’est en combinant ces deux axes — topologie et vitalité — que l’on peut faire de l’</w:t>
      </w:r>
      <w:r>
        <w:rPr>
          <w:i/>
          <w:iCs/>
        </w:rPr>
        <w:t>arcalité</w:t>
      </w:r>
      <w:r>
        <w:rPr/>
        <w:t xml:space="preserve"> non pas un concept vaporeux mais une grille de lecture falsifiable. Ce n’est qu’à ce prix qu’elle pourra fonctionner, dans le paradigme archicratique, comme l’un des trois piliers opératoires, et non comme un simple horizon symbolique. Nous reviendrons plus loin (section 1.4) sur une typologie détaillée des </w:t>
      </w:r>
      <w:r>
        <w:rPr>
          <w:i/>
          <w:iCs/>
        </w:rPr>
        <w:t>arcalités</w:t>
      </w:r>
      <w:r>
        <w:rPr/>
        <w:t xml:space="preserve"> internes et externes, politiques, sociales, techniques, épistémiques, avec leurs indicateurs propres. Retenons pour l’instant ceci : toute régulation laisse derrière elle des </w:t>
      </w:r>
      <w:r>
        <w:rPr>
          <w:i/>
          <w:iCs/>
        </w:rPr>
        <w:t>objets arcaux</w:t>
      </w:r>
      <w:r>
        <w:rPr/>
        <w:t xml:space="preserve"> ; toute </w:t>
      </w:r>
      <w:r>
        <w:rPr>
          <w:i/>
          <w:iCs/>
        </w:rPr>
        <w:t>arcalité</w:t>
      </w:r>
      <w:r>
        <w:rPr/>
        <w:t xml:space="preserve"> laisse des traces ; et ces traces sont nos premières prises sur l’invisible du pouvoir.</w:t>
      </w:r>
    </w:p>
    <w:p>
      <w:pPr>
        <w:pStyle w:val="Heading4"/>
        <w:numPr>
          <w:ilvl w:val="3"/>
          <w:numId w:val="2"/>
        </w:numPr>
        <w:rPr/>
      </w:pPr>
      <w:r>
        <w:rPr/>
        <w:t xml:space="preserve">Objets de </w:t>
      </w:r>
      <w:r>
        <w:rPr>
          <w:i/>
          <w:iCs/>
        </w:rPr>
        <w:t>cratialité</w:t>
      </w:r>
      <w:r>
        <w:rPr/>
        <w:t xml:space="preserve"> : instruments d’opération, vecteurs d’action et dispositifs techniques</w:t>
      </w:r>
    </w:p>
    <w:p>
      <w:pPr>
        <w:pStyle w:val="BodyText"/>
        <w:rPr/>
      </w:pPr>
      <w:r>
        <w:rPr/>
        <w:t>Quand l’</w:t>
      </w:r>
      <w:r>
        <w:rPr>
          <w:i/>
          <w:iCs/>
        </w:rPr>
        <w:t>arcalité</w:t>
      </w:r>
      <w:r>
        <w:rPr/>
        <w:t xml:space="preserve"> donne corps à ce qui fonde, la </w:t>
      </w:r>
      <w:r>
        <w:rPr>
          <w:i/>
          <w:iCs/>
        </w:rPr>
        <w:t>cratialité</w:t>
      </w:r>
      <w:r>
        <w:rPr/>
        <w:t xml:space="preserve"> donne forme à ce qui agit. Elle ne dit pas « pourquoi », mais « comment » — et surtout : </w:t>
      </w:r>
      <w:r>
        <w:rPr>
          <w:i/>
          <w:iCs/>
        </w:rPr>
        <w:t>par quoi</w:t>
      </w:r>
      <w:r>
        <w:rPr/>
        <w:t xml:space="preserve">. L’univers de la </w:t>
      </w:r>
      <w:r>
        <w:rPr>
          <w:i/>
          <w:iCs/>
        </w:rPr>
        <w:t>cratialité</w:t>
      </w:r>
      <w:r>
        <w:rPr/>
        <w:t xml:space="preserve"> est celui de l’opérativité, de l’effectuation, de la performativité matérielle de l’ordre. Ce n’est pas l’espace de la symbolisation ou de l’invocation, mais celui de la prise, du vecteur, de la chaîne d’activation, du code opératoire. Là où l’arcalité s’inscrit dans la mémoire, la cratialité s’inscrit dans la machinerie.</w:t>
      </w:r>
    </w:p>
    <w:p>
      <w:pPr>
        <w:pStyle w:val="BodyText"/>
        <w:rPr/>
      </w:pPr>
      <w:r>
        <w:rPr/>
        <w:t xml:space="preserve">Mais celle-ci n’est pas réductible à un appareillage technicien secondaire. Elle est ce sans quoi aucune norme ne s’effectue, aucun ordre ne tient, aucune coordination n’est possible. Comme l’a montré Foucault dans ses travaux sur les dispositifs (1977–1980), le pouvoir moderne ne se déploie pas d’abord par la loi ou par l’institution, mais par l’architecture invisible des objets techniques, des procédures ordinaires, des dispositifs modulaires. C’est dans les petites formes matérielles, dans les </w:t>
      </w:r>
      <w:r>
        <w:rPr>
          <w:i/>
          <w:iCs/>
        </w:rPr>
        <w:t>objets mineurs</w:t>
      </w:r>
      <w:r>
        <w:rPr/>
        <w:t xml:space="preserve"> de l’administration, que se logent les prises effectives du pouvoir.</w:t>
      </w:r>
    </w:p>
    <w:p>
      <w:pPr>
        <w:pStyle w:val="BodyText"/>
        <w:rPr/>
      </w:pPr>
      <w:r>
        <w:rPr/>
        <w:t xml:space="preserve">Les objets de </w:t>
      </w:r>
      <w:r>
        <w:rPr>
          <w:i/>
          <w:iCs/>
        </w:rPr>
        <w:t>cratialité</w:t>
      </w:r>
      <w:r>
        <w:rPr/>
        <w:t xml:space="preserve"> sont donc tous ces éléments — concrets, codifiés, outillés — qui permettent à une régulation de s’exercer dans le monde. Ils ne justifient pas ; ils opèrent. Ce sont les circulaires, les formulaires, les badges, les protocoles, les interfaces, les codes sources, les plateformes, les tableaux de bord, les feuilles de calcul, les applications mobiles, les tableaux de suivi, les logiciels de </w:t>
      </w:r>
      <w:r>
        <w:rPr>
          <w:i/>
          <w:iCs/>
        </w:rPr>
        <w:t>workflow</w:t>
      </w:r>
      <w:r>
        <w:rPr/>
        <w:t>, les API, les grilles d’indicateurs, les tableaux de synthèse, les diagrammes d’arbitrage, les tableaux croisés dynamiques, les tableaux de pilotage — en un mot, toutes les formes d’objectivation opératoire par lesquelles un ordre fait ce qu’il dit (ou dit ce qu’il fait, ou fait sans rien dire).</w:t>
      </w:r>
    </w:p>
    <w:p>
      <w:pPr>
        <w:pStyle w:val="BodyText"/>
        <w:rPr/>
      </w:pPr>
      <w:r>
        <w:rPr/>
        <w:t xml:space="preserve">Un exemple banal : le badge RFID qui contrôle l’accès à une zone hospitalière. Il ne dit rien, ne proclame rien, n’invoque aucun principe — mais il opère : il autorise ou refuse l’accès, il trace une action, il différencie les corps. Il est un </w:t>
      </w:r>
      <w:r>
        <w:rPr>
          <w:i/>
          <w:iCs/>
        </w:rPr>
        <w:t>objet cratial</w:t>
      </w:r>
      <w:r>
        <w:rPr/>
        <w:t xml:space="preserve"> par excellence : silencieux, infra-symbolique, mais puissamment effectif. De même, un logiciel de codage médical dans une unité de soins — tel que le célèbre logiciel « e-PMSI » — encode la réalité clinique dans des nomenclatures standardisées. Ce n’est pas un dispositif de soin, mais un instrument de régulation tarifaire. Il ne soigne pas, mais il décide, discrètement, de combien vaut un soin. Là encore, la </w:t>
      </w:r>
      <w:r>
        <w:rPr>
          <w:i/>
          <w:iCs/>
        </w:rPr>
        <w:t>cratialité</w:t>
      </w:r>
      <w:r>
        <w:rPr/>
        <w:t xml:space="preserve"> ne commande pas à haute voix, mais elle affecte à bas bruit.</w:t>
      </w:r>
    </w:p>
    <w:p>
      <w:pPr>
        <w:pStyle w:val="BodyText"/>
        <w:rPr/>
      </w:pPr>
      <w:r>
        <w:rPr/>
        <w:t xml:space="preserve">La </w:t>
      </w:r>
      <w:r>
        <w:rPr>
          <w:i/>
          <w:iCs/>
        </w:rPr>
        <w:t>cratialité</w:t>
      </w:r>
      <w:r>
        <w:rPr/>
        <w:t xml:space="preserve"> moderne est numérique, logistique, contractuelle. Elle est l’ordre qui passe par des </w:t>
      </w:r>
      <w:r>
        <w:rPr>
          <w:i/>
          <w:iCs/>
        </w:rPr>
        <w:t>formats</w:t>
      </w:r>
      <w:r>
        <w:rPr/>
        <w:t xml:space="preserve">, des </w:t>
      </w:r>
      <w:r>
        <w:rPr>
          <w:i/>
          <w:iCs/>
        </w:rPr>
        <w:t>fichiers</w:t>
      </w:r>
      <w:r>
        <w:rPr/>
        <w:t xml:space="preserve">, des </w:t>
      </w:r>
      <w:r>
        <w:rPr>
          <w:i/>
          <w:iCs/>
        </w:rPr>
        <w:t>interconnexions de données</w:t>
      </w:r>
      <w:r>
        <w:rPr/>
        <w:t xml:space="preserve">, des </w:t>
      </w:r>
      <w:r>
        <w:rPr>
          <w:i/>
          <w:iCs/>
        </w:rPr>
        <w:t>réseaux de dépendance technique</w:t>
      </w:r>
      <w:r>
        <w:rPr/>
        <w:t>. Elle se manifeste dans une feuille Excel de pilotage stratégique, dans une interface RH automatisée, dans une grille de conformité RGPD, dans une API de décision algorithmique, dans un cahier des charges d’appel d’offres. Ce sont des objets de pouvoir désancrés qui ne sont rattachés à aucune scène, à aucun auteur, à aucun moment visible. Et pourtant, ce sont eux qui fixent les trajectoires, définissent les seuils, imposent les temporalités.</w:t>
      </w:r>
    </w:p>
    <w:p>
      <w:pPr>
        <w:pStyle w:val="BodyText"/>
        <w:rPr/>
      </w:pPr>
      <w:r>
        <w:rPr/>
        <w:t xml:space="preserve">C’est ici que le paradigme archicratique joue tout son rôle critique : la </w:t>
      </w:r>
      <w:r>
        <w:rPr>
          <w:i/>
          <w:iCs/>
        </w:rPr>
        <w:t>cratialité</w:t>
      </w:r>
      <w:r>
        <w:rPr/>
        <w:t xml:space="preserve"> est souvent naturalisée — on la croit technique, neutre, purement instrumentale. Mais elle est profondément politique : chaque norme ISO, chaque critère de reporting ESG, chaque grille d’indicateur hospitalier, chaque bouton « valider » d’un formulaire de téléservice engage un choix, une structure de pouvoir, une distribution d’accès. Comme l’a montré Madeleine Akrich dans ses travaux sur la sociologie de la technique, les objets techniques embarquent des visions du monde. Un logiciel d’attribution scolaire ou de notation de crédit devient une </w:t>
      </w:r>
      <w:r>
        <w:rPr>
          <w:i/>
          <w:iCs/>
        </w:rPr>
        <w:t>formule de pouvoir</w:t>
      </w:r>
      <w:r>
        <w:rPr/>
        <w:t>, une manière d’opérer sans apparaître.</w:t>
      </w:r>
    </w:p>
    <w:p>
      <w:pPr>
        <w:pStyle w:val="BodyText"/>
        <w:rPr/>
      </w:pPr>
      <w:r>
        <w:rPr/>
        <w:t xml:space="preserve">Les formes topologiques de la </w:t>
      </w:r>
      <w:r>
        <w:rPr>
          <w:i/>
          <w:iCs/>
        </w:rPr>
        <w:t>cratialité</w:t>
      </w:r>
      <w:r>
        <w:rPr/>
        <w:t xml:space="preserve"> sont essentielles à penser : elle peut être interne — produite par les ressources propres du dispositif (procédures internes, personnels, logiciels maison, règles métier) — ou externe : achetée à l’extérieur, imposée par une entité surplombante, encapsulée dans un marché de conseil ou une norme transnationale. La </w:t>
      </w:r>
      <w:r>
        <w:rPr>
          <w:i/>
          <w:iCs/>
        </w:rPr>
        <w:t>cratialité</w:t>
      </w:r>
      <w:r>
        <w:rPr/>
        <w:t xml:space="preserve"> d’un hôpital public peut ainsi être entièrement modelée par des outils achetés à une entreprise privée (logiciel, audit, tableau de pilotage) — et donc devenir invisible, inaccessible, irréversible pour les professionnels eux-mêmes. C’est dans ces cas que la </w:t>
      </w:r>
      <w:r>
        <w:rPr>
          <w:i/>
          <w:iCs/>
        </w:rPr>
        <w:t>capture cratiale</w:t>
      </w:r>
      <w:r>
        <w:rPr/>
        <w:t xml:space="preserve"> devient notable.</w:t>
      </w:r>
    </w:p>
    <w:p>
      <w:pPr>
        <w:pStyle w:val="BodyText"/>
        <w:rPr/>
      </w:pPr>
      <w:r>
        <w:rPr/>
        <w:t xml:space="preserve">Mais les objets de </w:t>
      </w:r>
      <w:r>
        <w:rPr>
          <w:i/>
          <w:iCs/>
        </w:rPr>
        <w:t>cratialité</w:t>
      </w:r>
      <w:r>
        <w:rPr/>
        <w:t xml:space="preserve"> sont aussi des vecteurs de synchronisation, des instruments de temporalisation, des matrices de codage. Ils dictent les horaires, les formats, les cadres, les unités, les seuils, les priorités. Un simple formulaire Cerfa impose un langage, une logique, un ordre des cases, une hiérarchie des données. Un algorithme de traitement des signalements hiérarchise les urgences. Une clause de marché public verrouille les marges de manœuvre d’une administration pendant cinq ans. Ce ne sont pas des accessoires : ce sont les </w:t>
      </w:r>
      <w:r>
        <w:rPr>
          <w:i/>
          <w:iCs/>
        </w:rPr>
        <w:t>architectures d’effectuation de l’ordre</w:t>
      </w:r>
      <w:r>
        <w:rPr/>
        <w:t>.</w:t>
      </w:r>
    </w:p>
    <w:p>
      <w:pPr>
        <w:pStyle w:val="BodyText"/>
        <w:rPr/>
      </w:pPr>
      <w:r>
        <w:rPr/>
        <w:t xml:space="preserve">La </w:t>
      </w:r>
      <w:r>
        <w:rPr>
          <w:i/>
          <w:iCs/>
        </w:rPr>
        <w:t>cratialité</w:t>
      </w:r>
      <w:r>
        <w:rPr/>
        <w:t>, ainsi comprise, ne peut être analysée que par inventaire minutieux, relevé rigoureux, analyse située. Cela exige de documenter les objets — y compris les plus triviaux : un tableau blanc de gestion des lits dans un service hospitalier, un calendrier partagé de réunions dans un cabinet ministériel, un tableau de planification logistique, une messagerie professionnelle avec ses règles de tri automatique — tous ces objets régulent, contraignent, orientent. Ils forment une écologie matérielle de la décision.</w:t>
      </w:r>
    </w:p>
    <w:p>
      <w:pPr>
        <w:pStyle w:val="BodyText"/>
        <w:rPr/>
      </w:pPr>
      <w:r>
        <w:rPr/>
        <w:t>Enfin, une grille d’analyse archicratique des objets cratiaux devra intégrer quatre critères :</w:t>
      </w:r>
    </w:p>
    <w:p>
      <w:pPr>
        <w:pStyle w:val="BodyText"/>
        <w:numPr>
          <w:ilvl w:val="0"/>
          <w:numId w:val="3"/>
        </w:numPr>
        <w:rPr/>
      </w:pPr>
      <w:r>
        <w:rPr/>
        <w:t>Accessibilité : l’objet est-il lisible ? manipulable ? réservé à des initiés ?</w:t>
      </w:r>
    </w:p>
    <w:p>
      <w:pPr>
        <w:pStyle w:val="BodyText"/>
        <w:numPr>
          <w:ilvl w:val="0"/>
          <w:numId w:val="3"/>
        </w:numPr>
        <w:rPr/>
      </w:pPr>
      <w:r>
        <w:rPr/>
        <w:t>Traçabilité : l’objet laisse-t-il une trace de la décision prise ? permet-il un audit ?</w:t>
      </w:r>
    </w:p>
    <w:p>
      <w:pPr>
        <w:pStyle w:val="BodyText"/>
        <w:numPr>
          <w:ilvl w:val="0"/>
          <w:numId w:val="3"/>
        </w:numPr>
        <w:rPr/>
      </w:pPr>
      <w:r>
        <w:rPr/>
        <w:t>Opposabilité : peut-on le contester ? en discuter le contenu ou le fonctionnement ?</w:t>
      </w:r>
    </w:p>
    <w:p>
      <w:pPr>
        <w:pStyle w:val="BodyText"/>
        <w:numPr>
          <w:ilvl w:val="0"/>
          <w:numId w:val="3"/>
        </w:numPr>
        <w:rPr/>
      </w:pPr>
      <w:r>
        <w:rPr/>
        <w:t>Temporalité : l’objet impose-t-il une cadence, un délai, une irréversibilité ?</w:t>
      </w:r>
    </w:p>
    <w:p>
      <w:pPr>
        <w:pStyle w:val="BodyText"/>
        <w:rPr/>
      </w:pPr>
      <w:r>
        <w:rPr/>
        <w:t xml:space="preserve">Ces critères ne relèvent pas de la technique pure, mais du droit politique à l’action commune. Car si la </w:t>
      </w:r>
      <w:r>
        <w:rPr>
          <w:i/>
          <w:iCs/>
        </w:rPr>
        <w:t>cratialité</w:t>
      </w:r>
      <w:r>
        <w:rPr/>
        <w:t xml:space="preserve"> devient inaccessible, non traçable, non opposable et instantanée, alors elle cesse d’être un instrument de régulation pour devenir un dispositif d’irréversibilité autoritaire.</w:t>
      </w:r>
    </w:p>
    <w:p>
      <w:pPr>
        <w:pStyle w:val="BodyText"/>
        <w:rPr/>
      </w:pPr>
      <w:r>
        <w:rPr/>
        <w:t xml:space="preserve">C’est pourquoi les objets de </w:t>
      </w:r>
      <w:r>
        <w:rPr>
          <w:i/>
          <w:iCs/>
        </w:rPr>
        <w:t>cratialité</w:t>
      </w:r>
      <w:r>
        <w:rPr/>
        <w:t xml:space="preserve"> sont le lieu d’un diagnostic politique majeur. Ils ne disent pas ce que l’ordre veut être, mais ce qu’il </w:t>
      </w:r>
      <w:r>
        <w:rPr>
          <w:i/>
          <w:iCs/>
        </w:rPr>
        <w:t>fait vraiment</w:t>
      </w:r>
      <w:r>
        <w:rPr/>
        <w:t>. Et c’est à ce titre qu’ils doivent être lus, commentés, cartographiés — non comme purs artefacts, mais comme formes incorporées de pouvoir régulateur. Car dans les plis du code, dans les cellules d’une feuille de calcul, dans les scripts d’un programme, dans les colonnes d’un formulaire, dans la norme d’un pilotage, se loge la part silencieuse bien qu’agissante du politique.</w:t>
      </w:r>
    </w:p>
    <w:p>
      <w:pPr>
        <w:pStyle w:val="Heading4"/>
        <w:numPr>
          <w:ilvl w:val="3"/>
          <w:numId w:val="2"/>
        </w:numPr>
        <w:rPr/>
      </w:pPr>
      <w:r>
        <w:rPr/>
        <w:t>Objets d’</w:t>
      </w:r>
      <w:r>
        <w:rPr>
          <w:i/>
          <w:iCs/>
        </w:rPr>
        <w:t>archicration</w:t>
      </w:r>
      <w:r>
        <w:rPr/>
        <w:t xml:space="preserve"> : scènes instituées, procédures de différé et supports d’opposabilité</w:t>
      </w:r>
    </w:p>
    <w:p>
      <w:pPr>
        <w:pStyle w:val="BodyText"/>
        <w:rPr/>
      </w:pPr>
      <w:r>
        <w:rPr/>
        <w:t>Si l’</w:t>
      </w:r>
      <w:r>
        <w:rPr>
          <w:i/>
          <w:iCs/>
        </w:rPr>
        <w:t>arcalité</w:t>
      </w:r>
      <w:r>
        <w:rPr/>
        <w:t xml:space="preserve"> fonde et si la </w:t>
      </w:r>
      <w:r>
        <w:rPr>
          <w:i/>
          <w:iCs/>
        </w:rPr>
        <w:t>cratialité</w:t>
      </w:r>
      <w:r>
        <w:rPr/>
        <w:t xml:space="preserve"> exécute, l’</w:t>
      </w:r>
      <w:r>
        <w:rPr>
          <w:i/>
          <w:iCs/>
        </w:rPr>
        <w:t>archicration</w:t>
      </w:r>
      <w:r>
        <w:rPr/>
        <w:t xml:space="preserve">, elle, </w:t>
      </w:r>
      <w:r>
        <w:rPr>
          <w:i/>
          <w:iCs/>
        </w:rPr>
        <w:t>régule la dispute du pouvoir</w:t>
      </w:r>
      <w:r>
        <w:rPr/>
        <w:t>. Elle ne légitime pas, elle n’effectue pas : elle ouvre, expose, retarde, reformule. Elle est cette part du politique qui consiste non pas tant à faire, qu’à rendre contestable ce qui a été fait — non pas à dire « voilà l’ordre », mais « cet ordre peut être discuté, modifié, suspendu, défait ou reconstruit ». L’</w:t>
      </w:r>
      <w:r>
        <w:rPr>
          <w:i/>
          <w:iCs/>
        </w:rPr>
        <w:t>archicration</w:t>
      </w:r>
      <w:r>
        <w:rPr/>
        <w:t xml:space="preserve"> est la temporalité de l’épreuve, la scène de la dispute, le dispositif du différé. Et comme toute structure de régulation, elle laisse derrière elle — ou refuse de laisser — des traces concrètes : objets, procédures, formats, supports, signes. Ce sont eux que l’analyse archicratique doit savoir lire, documenter, opposer.</w:t>
      </w:r>
    </w:p>
    <w:p>
      <w:pPr>
        <w:pStyle w:val="BodyText"/>
        <w:rPr/>
      </w:pPr>
      <w:r>
        <w:rPr/>
        <w:t xml:space="preserve">Les </w:t>
      </w:r>
      <w:r>
        <w:rPr>
          <w:i/>
          <w:iCs/>
        </w:rPr>
        <w:t>objets archicratifs</w:t>
      </w:r>
      <w:r>
        <w:rPr/>
        <w:t xml:space="preserve"> sont ceux qui manifestent — ou masquent — l’existence d’une scène d’épreuve. Ils sont les </w:t>
      </w:r>
      <w:r>
        <w:rPr>
          <w:i/>
          <w:iCs/>
        </w:rPr>
        <w:t>métonymies du contradictoire institué</w:t>
      </w:r>
      <w:r>
        <w:rPr/>
        <w:t xml:space="preserve"> : registres de saisine, convocations formelles, procès-verbaux, comptes-rendus de délibération, ordres du jour rendus publics, auditions publiques, formulaires de contestation, décisions motivées, délais de recours, avis minoritaires, publications contradictoires, protocoles d’instruction, rapports d’expertise, consultations encadrées, plateformes participatives réellement interactives, avis du Conseil d’État, saisines d’une autorité de régulation, etc.</w:t>
      </w:r>
    </w:p>
    <w:p>
      <w:pPr>
        <w:pStyle w:val="BodyText"/>
        <w:rPr/>
      </w:pPr>
      <w:r>
        <w:rPr/>
        <w:t>Ces objets n’ont pas pour fonction de produire un effet régulateur direct. Mais ils changent tout au monde politique, car ils transforment un ordre de fait en un ordre contestable, c’est-à-dire potentiellement réversible. Là réside leur pouvoir propre : ils inscrivent la norme dans le champ de la délibération. Ils ne gouvernent pas, mais ils rendent le gouvernement visible, énonçable et amendable.</w:t>
      </w:r>
    </w:p>
    <w:p>
      <w:pPr>
        <w:pStyle w:val="BodyText"/>
        <w:rPr/>
      </w:pPr>
      <w:r>
        <w:rPr/>
        <w:t xml:space="preserve">Un simple registre de saisine citoyenne — tenu à jour, accessible, lisible — est un puissant </w:t>
      </w:r>
      <w:r>
        <w:rPr>
          <w:i/>
          <w:iCs/>
        </w:rPr>
        <w:t>objet d’archicration</w:t>
      </w:r>
      <w:r>
        <w:rPr/>
        <w:t xml:space="preserve">. Il permet à une décision d’être rouverte, à une politique d’être contestée, à un dispositif d’être réévalué. Une décision administrative motivée — dont les motifs sont publiés, les délais indiqués, les voies de recours explicitement mentionnées — devient, en ce sens, un support d’opposabilité. Inversement, son absence signe une forme d’autoritarisme silencieux, une neutralisation de la scène. De même, un procès-verbal d’audition contradictoire — où les arguments des différentes parties sont repris, répondus, hiérarchisés — est un </w:t>
      </w:r>
      <w:r>
        <w:rPr>
          <w:i/>
          <w:iCs/>
        </w:rPr>
        <w:t>objet archicratif</w:t>
      </w:r>
      <w:r>
        <w:rPr/>
        <w:t xml:space="preserve"> à haute valeur politique. Il rend visible une épreuve, documente l’écoute et matérialise la scène.</w:t>
      </w:r>
    </w:p>
    <w:p>
      <w:pPr>
        <w:pStyle w:val="BodyText"/>
        <w:rPr/>
      </w:pPr>
      <w:r>
        <w:rPr/>
        <w:t xml:space="preserve">Mais comme pour les </w:t>
      </w:r>
      <w:r>
        <w:rPr>
          <w:i/>
          <w:iCs/>
        </w:rPr>
        <w:t>objets arcaux et cratiaux</w:t>
      </w:r>
      <w:r>
        <w:rPr/>
        <w:t xml:space="preserve">, la puissance politique d’un </w:t>
      </w:r>
      <w:r>
        <w:rPr>
          <w:i/>
          <w:iCs/>
        </w:rPr>
        <w:t>objet archicratif</w:t>
      </w:r>
      <w:r>
        <w:rPr/>
        <w:t xml:space="preserve"> ne tient pas à sa simple existence formelle. Encore faut-il qu’il soit effectif, accessible, activable. Une plateforme de consultation publique qui n’est ni analysée, ni suivie d’effet, ni même modérée de manière transparente, n’est pas un objet d’archicration — c’est </w:t>
      </w:r>
      <w:r>
        <w:rPr>
          <w:i/>
          <w:iCs/>
        </w:rPr>
        <w:t>un simulacre archicratique</w:t>
      </w:r>
      <w:r>
        <w:rPr/>
        <w:t>. Un délai de recours de 24 heures sans possibilité d’assistance juridique n’est pas un mécanisme de contradictoire, mais un leurre procédural. Il en va de même pour un registre de doléances enfermé dans une armoire, jamais traité, jamais rendu public, n’ouvrant aucune scène, ne garantissant aucun différé. Il mime l’ouverture archicrative, tout en l’empêchant.</w:t>
      </w:r>
    </w:p>
    <w:p>
      <w:pPr>
        <w:pStyle w:val="BodyText"/>
        <w:rPr/>
      </w:pPr>
      <w:r>
        <w:rPr/>
        <w:t xml:space="preserve">Ainsi, les </w:t>
      </w:r>
      <w:r>
        <w:rPr>
          <w:i/>
          <w:iCs/>
        </w:rPr>
        <w:t>objets d’archicration</w:t>
      </w:r>
      <w:r>
        <w:rPr/>
        <w:t xml:space="preserve"> sont hautement vulnérables à la capture, au vide symbolique, à la neutralisation rituelle. Ce sont les objets les plus spectaculaires, mais aussi les plus faciles à rendre ineffectifs, car leur forme suffit à donner l’illusion de la dispute. D’où l’importance, dans le paradigme archicratique, de ne jamais les considérer de manière formelle ou nominale, mais toujours selon une grille d’évaluation substantielle :</w:t>
      </w:r>
    </w:p>
    <w:p>
      <w:pPr>
        <w:pStyle w:val="BodyText"/>
        <w:numPr>
          <w:ilvl w:val="0"/>
          <w:numId w:val="3"/>
        </w:numPr>
        <w:rPr/>
      </w:pPr>
      <w:r>
        <w:rPr/>
        <w:t>Accessibilité : l’objet est-il public ? visible ? intelligible ?</w:t>
      </w:r>
    </w:p>
    <w:p>
      <w:pPr>
        <w:pStyle w:val="BodyText"/>
        <w:numPr>
          <w:ilvl w:val="0"/>
          <w:numId w:val="3"/>
        </w:numPr>
        <w:rPr/>
      </w:pPr>
      <w:r>
        <w:rPr/>
        <w:t>Temporalité : le différé est-il suffisant pour permettre une réponse ? Y a-t-il une fenêtre réelle de contestation ?</w:t>
      </w:r>
    </w:p>
    <w:p>
      <w:pPr>
        <w:pStyle w:val="BodyText"/>
        <w:numPr>
          <w:ilvl w:val="0"/>
          <w:numId w:val="3"/>
        </w:numPr>
        <w:rPr/>
      </w:pPr>
      <w:r>
        <w:rPr/>
        <w:t>Effectivité : le recours aboutit-il ? La contestation peut-elle infléchir ou suspendre la régulation ?</w:t>
      </w:r>
    </w:p>
    <w:p>
      <w:pPr>
        <w:pStyle w:val="BodyText"/>
        <w:numPr>
          <w:ilvl w:val="0"/>
          <w:numId w:val="3"/>
        </w:numPr>
        <w:rPr/>
      </w:pPr>
      <w:r>
        <w:rPr/>
        <w:t>Traçabilité : la procédure laisse-t-elle une trace ? Une mémoire de la dispute est-elle produite ?</w:t>
      </w:r>
    </w:p>
    <w:p>
      <w:pPr>
        <w:pStyle w:val="BodyText"/>
        <w:numPr>
          <w:ilvl w:val="0"/>
          <w:numId w:val="3"/>
        </w:numPr>
        <w:rPr/>
      </w:pPr>
      <w:r>
        <w:rPr/>
        <w:t>Pluralité : différentes voix ont-elles été reconnues, prises en compte, confrontées dans la procédure ?</w:t>
      </w:r>
    </w:p>
    <w:p>
      <w:pPr>
        <w:pStyle w:val="BodyText"/>
        <w:numPr>
          <w:ilvl w:val="0"/>
          <w:numId w:val="3"/>
        </w:numPr>
        <w:rPr/>
      </w:pPr>
      <w:r>
        <w:rPr/>
        <w:t>Revocabilité : existe-t-il une possibilité concrète d’abroger, modifier, ou reformuler une arcalité ou une cratialité ?</w:t>
      </w:r>
    </w:p>
    <w:p>
      <w:pPr>
        <w:pStyle w:val="BodyText"/>
        <w:rPr/>
      </w:pPr>
      <w:r>
        <w:rPr/>
        <w:t xml:space="preserve">Chaque </w:t>
      </w:r>
      <w:r>
        <w:rPr>
          <w:i/>
          <w:iCs/>
        </w:rPr>
        <w:t>objet d’archicration</w:t>
      </w:r>
      <w:r>
        <w:rPr/>
        <w:t xml:space="preserve"> doit donc être interrogé selon ces critères. Un avis minoritaire publié en annexe d’un rapport peut avoir une fonction archicratique extrêmement forte, surtout s’il est repris par la presse ou les juridictions. Inversement, une « consultation » massive ne donnant aucune suite — ou sans intégration lisible dans la décision finale — peut être un ciment d’euphémisation, une pure forme d’archicration mimée et simulée.</w:t>
      </w:r>
    </w:p>
    <w:p>
      <w:pPr>
        <w:pStyle w:val="BodyText"/>
        <w:rPr/>
      </w:pPr>
      <w:r>
        <w:rPr/>
        <w:t xml:space="preserve">Enfin, il convient d’insister sur la topologie des </w:t>
      </w:r>
      <w:r>
        <w:rPr>
          <w:i/>
          <w:iCs/>
        </w:rPr>
        <w:t>objets archicratifs</w:t>
      </w:r>
      <w:r>
        <w:rPr/>
        <w:t>. Ils peuvent être internes : conseils délibératifs, comités d’éthique, médiateurs, dispositifs de saisine interne, commissions de réexamen. Ils peuvent être externes : recours juridictionnels, mobilisation d’instances indépendantes (Défenseur des droits, Conseil d’État, Autorité de régulation), interventions médiatiques documentées, pétitions publiques structurées, tribunaux populaires. Un système politique robuste combine les deux : il s’auto-dispute en interne, mais se rend aussi disputable de l’extérieur.</w:t>
      </w:r>
    </w:p>
    <w:p>
      <w:pPr>
        <w:pStyle w:val="BodyText"/>
        <w:rPr/>
      </w:pPr>
      <w:r>
        <w:rPr/>
        <w:t>Dans des configurations autarchicratiques, les objets d’archicration sont souvent mimés en interne — pour donner l’illusion de la scène — tandis que les dispositifs externes d’opposabilité sont rendus inopérants, dilués ou purement formels. Ce n’est pas qu’un régime serait ouvertement autarchicratique ; c’est que certaines fonctions, certaines séquences ou certains vecteurs de régulation se déploient selon une logique autarchicratique : par neutralisation de l’épreuve, occultation des fondements et saturation opératoire. L’autarchicratie ne désigne donc pas une oligarchie instituée, mais une dérive silencieuse de la régulation qui peut traverser tous les régimes, tous les secteurs, et dont certains groupes sociaux ou certaines fonctions deviennent les porteurs structurels — sans en revendiquer pour autant le nom. Nous les appellerons ici, si l’on veut les nommer rigoureusement : des porteurs de fermeture autarchique.</w:t>
      </w:r>
    </w:p>
    <w:p>
      <w:pPr>
        <w:pStyle w:val="BodyText"/>
        <w:rPr/>
      </w:pPr>
      <w:r>
        <w:rPr/>
        <w:t>Car c’est bien cela qui est en jeu : non pas l’existence théorique d’une contestation, mais sa possibilité instituée, régulée, documentée. Là où l’archicration est neutralisée, mimée, relocalisée hors d’atteinte ou rendue pratiquement inopérante, le pouvoir tend à devenir indiscutable — non par tyrannie explicite, mais par dissolution des conditions effectives de la scène. Là où elle est simulée, le politique devient un théâtre d’ombres. Là où elle est instituée, explicite, traçable et opposable, elle redonne au pouvoir sa dimension dialogique, temporelle et politique.</w:t>
      </w:r>
    </w:p>
    <w:p>
      <w:pPr>
        <w:pStyle w:val="BodyText"/>
        <w:rPr/>
      </w:pPr>
      <w:r>
        <w:rPr/>
        <w:t xml:space="preserve">Les </w:t>
      </w:r>
      <w:r>
        <w:rPr>
          <w:i/>
          <w:iCs/>
        </w:rPr>
        <w:t>objets archicratifs</w:t>
      </w:r>
      <w:r>
        <w:rPr/>
        <w:t xml:space="preserve"> ne sont donc ni accessoires ni résiduels : ils sont la clef de voûte du politique comme épreuve. Ce sont eux qui assurent qu’une norme n’est pas un destin, qu’une régulation peut être reconfigurée, qu’un ordre n’est pas clos. Ce sont eux qui, au sein de la structure archicratique, permettent que le pouvoir soit tenu pour comptable, et donc transformable.</w:t>
      </w:r>
    </w:p>
    <w:p>
      <w:pPr>
        <w:pStyle w:val="Heading4"/>
        <w:numPr>
          <w:ilvl w:val="3"/>
          <w:numId w:val="2"/>
        </w:numPr>
        <w:rPr/>
      </w:pPr>
      <w:r>
        <w:rPr/>
        <w:t>Vers une cartographie métonymique des dispositifs</w:t>
      </w:r>
    </w:p>
    <w:p>
      <w:pPr>
        <w:pStyle w:val="BodyText"/>
        <w:rPr/>
      </w:pPr>
      <w:r>
        <w:rPr/>
        <w:t>Il est nécessaire mais non suffisant d’identifier des principes abstraits — fondement, opération, dispute — pour penser une régulation politique. Il faut pouvoir les repérer dans le réel, en observer les figures incarnées, en déchiffrer les signes, en documenter les objets. C’est à cette fin que le paradigme archicratique se dote d’une sémiologie concrète des dispositifs : une cartographie métonymique, capable de lire dans les objets non pas leur fonction immédiate, mais le régime politique implicite qu’ils contribuent à instituer. Cette lecture métonymique repose sur une hypothèse forte : les objets matériels et symboliques d’une régulation — aussi techniques, mineurs ou silencieux soient-ils — disent quelque chose de la qualité politique de l’ordre qu’ils soutiennent.</w:t>
      </w:r>
    </w:p>
    <w:p>
      <w:pPr>
        <w:pStyle w:val="BodyText"/>
        <w:rPr/>
      </w:pPr>
      <w:r>
        <w:rPr/>
        <w:t>Un badge d’accès, un formulaire de recours, un tableau de bord algorithmique, une charte d’éthique, une convocation à une commission, un registre de délibération, un logiciel de pilotage budgétaire ou un protocole de saisine sont autant d’objets d’apparence neutre — mais qui, situés dans un écosystème de régulation, expriment une position archicratique : ils sont les métonymies de la structure, au sens où chaque objet, bien qu’apparemment partiel, renvoie à l’ensemble du régime dont il procède.</w:t>
      </w:r>
    </w:p>
    <w:p>
      <w:pPr>
        <w:pStyle w:val="BodyText"/>
        <w:rPr/>
      </w:pPr>
      <w:r>
        <w:rPr/>
        <w:t xml:space="preserve">Un badge sans nom, sans fonction lisible, sans statut accessible ne signale pas seulement un problème d’accès : il objective une dissociation entre </w:t>
      </w:r>
      <w:r>
        <w:rPr>
          <w:i/>
          <w:iCs/>
        </w:rPr>
        <w:t>cratialité</w:t>
      </w:r>
      <w:r>
        <w:rPr/>
        <w:t xml:space="preserve"> et </w:t>
      </w:r>
      <w:r>
        <w:rPr>
          <w:i/>
          <w:iCs/>
        </w:rPr>
        <w:t>archicration</w:t>
      </w:r>
      <w:r>
        <w:rPr/>
        <w:t xml:space="preserve">, en empêchant la formulation de toute contestation localisée. Une charte d’entreprise affichée dans un hall, non opposable juridiquement, manifeste une </w:t>
      </w:r>
      <w:r>
        <w:rPr>
          <w:i/>
          <w:iCs/>
        </w:rPr>
        <w:t>arcalité</w:t>
      </w:r>
      <w:r>
        <w:rPr/>
        <w:t xml:space="preserve"> de façade, sans ancrage normatif. Un algorithme qui produit des décisions sans en publier les règles institue une </w:t>
      </w:r>
      <w:r>
        <w:rPr>
          <w:i/>
          <w:iCs/>
        </w:rPr>
        <w:t>cratialité</w:t>
      </w:r>
      <w:r>
        <w:rPr/>
        <w:t xml:space="preserve"> opaque, sans archicration effective possible. Ce sont là des objets discrets — mais qui configurent le pouvoir, organisent l’action, orientent la reconnaissance, verrouillent les possibilités de mise en cause.</w:t>
      </w:r>
    </w:p>
    <w:p>
      <w:pPr>
        <w:pStyle w:val="BodyText"/>
        <w:rPr/>
      </w:pPr>
      <w:r>
        <w:rPr/>
        <w:t>Lire une régulation politiquement, c’est donc lire les objets qui la rendent possible, et interroger la grammaire que ces objets rendent visible ou invisible. Or, cette grammaire ne peut être saisie qu’en articulant trois dimensions :</w:t>
      </w:r>
    </w:p>
    <w:p>
      <w:pPr>
        <w:pStyle w:val="BodyText"/>
        <w:numPr>
          <w:ilvl w:val="0"/>
          <w:numId w:val="3"/>
        </w:numPr>
        <w:rPr/>
      </w:pPr>
      <w:r>
        <w:rPr/>
        <w:t>Le pôle auquel appartient l’objet (</w:t>
      </w:r>
      <w:r>
        <w:rPr>
          <w:i/>
          <w:iCs/>
        </w:rPr>
        <w:t>arcalité, cratialité, archicration</w:t>
      </w:r>
      <w:r>
        <w:rPr/>
        <w:t>)</w:t>
      </w:r>
    </w:p>
    <w:p>
      <w:pPr>
        <w:pStyle w:val="BodyText"/>
        <w:numPr>
          <w:ilvl w:val="0"/>
          <w:numId w:val="3"/>
        </w:numPr>
        <w:rPr/>
      </w:pPr>
      <w:r>
        <w:rPr/>
        <w:t>Sa topologie (interne ou externe au dispositif) ;</w:t>
      </w:r>
    </w:p>
    <w:p>
      <w:pPr>
        <w:pStyle w:val="BodyText"/>
        <w:numPr>
          <w:ilvl w:val="0"/>
          <w:numId w:val="3"/>
        </w:numPr>
        <w:rPr/>
      </w:pPr>
      <w:r>
        <w:rPr/>
        <w:t>Son degré d’opposabilité (décidable, accessible, falsifiable, désactivé, mimé).</w:t>
      </w:r>
    </w:p>
    <w:p>
      <w:pPr>
        <w:pStyle w:val="BodyText"/>
        <w:rPr/>
      </w:pPr>
      <w:r>
        <w:rPr/>
        <w:t>Cette triple clé permet une cartographie critique des dispositifs : non plus fondée sur leur déclaration institutionnelle, mais sur leur matérialité opératoire réelle. Elle permet aussi de déconstruire les fictions d’ouverture (quand une instance se prétend accessible sans organiser en réalité la pratique du recours), ou les illusions de performance (quand une procédure est techniquement fluide, mais politiquement irréversible).</w:t>
      </w:r>
    </w:p>
    <w:p>
      <w:pPr>
        <w:pStyle w:val="BodyText"/>
        <w:rPr/>
      </w:pPr>
      <w:r>
        <w:rPr/>
        <w:t xml:space="preserve">Mais cette lecture métonymique ne s’oppose pas à une lecture systémique : au contraire, elle la densifie, en réinscrivant chaque dispositif dans un tissu d’interactions politiques. Chaque objet doit être lu comme le signe d’un régime, comme le symptôme d’un équilibre ou d’un déséquilibre entre les trois pôles, comme l’indice d’une articulation spécifique entre le fondement, l’opération et la dispute. Un formulaire, une convocation, une écharpe tricolore, un timbre administratif, une case à cocher sur une plateforme numérique, un ordre du jour publié — tous sont des </w:t>
      </w:r>
      <w:r>
        <w:rPr>
          <w:i/>
          <w:iCs/>
        </w:rPr>
        <w:t>objets-signes</w:t>
      </w:r>
      <w:r>
        <w:rPr/>
        <w:t>. Ils sont les unités matérielles d’une régulation, les cristallisations d’une architecture politique.</w:t>
      </w:r>
    </w:p>
    <w:p>
      <w:pPr>
        <w:pStyle w:val="Heading3"/>
        <w:numPr>
          <w:ilvl w:val="2"/>
          <w:numId w:val="2"/>
        </w:numPr>
        <w:rPr/>
      </w:pPr>
      <w:r>
        <w:rPr/>
        <w:t>1.1.3 — Articulation dynamique des trois pôles</w:t>
      </w:r>
    </w:p>
    <w:p>
      <w:pPr>
        <w:pStyle w:val="BodyText"/>
        <w:rPr/>
      </w:pPr>
      <w:r>
        <w:rPr/>
        <w:t>Si le paradigme archicratique repose sur cette tripartition fondamentale, il serait erroné d’en faire une grille statique ou une typologie figée. Ce qui fait sa valeur heuristique ne se résume pas en la distinction de ces trois pôles, mais dans la mise en tension dynamique qui les relie, les contraint, les déséquilibre ou les ajuste dans toute situation de régulation. Loin d’être des sphères séparées, ces trois dimensions n’existent que dans leur interaction mutuelle, dans une dialectique structurante où chacune affecte la viabilité des deux autres. C’est cette logique d’interdépendance — parfois harmonieuse, souvent tendue, parfois rompue — qui constitue la véritable mécanique différentielle de l’analyse archicratique.</w:t>
      </w:r>
    </w:p>
    <w:p>
      <w:pPr>
        <w:pStyle w:val="BodyText"/>
        <w:rPr/>
      </w:pPr>
      <w:r>
        <w:rPr/>
        <w:t>L’arcalité peut subsister à l’état de vestige, de référence peu opérante ou de fondement faiblement mobilisé ; la cratialité peut s’autonomiser sur fond d’arcalité peu exposable ou faiblement assumée ; l’archicration peut être formellement instituée tout en restant sans prise réelle sur la trajectoire décisionnelle. Chacun de ces désajustements produit des formes pathologiques de régulation, non par la faute d’un défaut absolu, mais par la déconnexion ou la dégradation des pôles entre eux. L’archicratie ne devient intelligible qu’en appréciant le degré d’articulation effective — et non simplement déclarative — entre ces trois dimensions.</w:t>
      </w:r>
    </w:p>
    <w:p>
      <w:pPr>
        <w:pStyle w:val="BodyText"/>
        <w:rPr/>
      </w:pPr>
      <w:r>
        <w:rPr/>
        <w:t>Pour cette raison, il est préférable de substituer à la simple figure du triangle une lecture tensorielle, c’est-à-dire un champ de forces où les trois pôles se soutiennent, se contraignent, se déséquilibrent ou se réajustent. L’</w:t>
      </w:r>
      <w:r>
        <w:rPr>
          <w:i/>
          <w:iCs/>
        </w:rPr>
        <w:t>arcalité</w:t>
      </w:r>
      <w:r>
        <w:rPr/>
        <w:t xml:space="preserve"> oriente le sens ; la </w:t>
      </w:r>
      <w:r>
        <w:rPr>
          <w:i/>
          <w:iCs/>
        </w:rPr>
        <w:t>cratialité</w:t>
      </w:r>
      <w:r>
        <w:rPr/>
        <w:t xml:space="preserve"> donne prise au réel ; l’</w:t>
      </w:r>
      <w:r>
        <w:rPr>
          <w:i/>
          <w:iCs/>
        </w:rPr>
        <w:t>archicration</w:t>
      </w:r>
      <w:r>
        <w:rPr/>
        <w:t xml:space="preserve"> introduit le différé, le possible, l’inédit. Leur co-présence est la condition minimale d’un ordre politique habitable. Leur neutralisation, leur mise en latence ou leur domination univoque constitue, à l’inverse, le signe d’un régime appauvri, voire fermé et autoritaire.</w:t>
      </w:r>
    </w:p>
    <w:p>
      <w:pPr>
        <w:pStyle w:val="BodyText"/>
        <w:rPr/>
      </w:pPr>
      <w:r>
        <w:rPr/>
        <w:t xml:space="preserve">Ce n’est donc pas la présence de chacun des trois pôles, pris isolément, qui garantit la qualité politique d’une régulation, mais la manière dont ils se répondent, se nourrissent, se corrigent ou s’affrontent. Une </w:t>
      </w:r>
      <w:r>
        <w:rPr>
          <w:i/>
          <w:iCs/>
        </w:rPr>
        <w:t>arcalité</w:t>
      </w:r>
      <w:r>
        <w:rPr/>
        <w:t xml:space="preserve"> active, mais non révisable, produit du dogmatisme. Une </w:t>
      </w:r>
      <w:r>
        <w:rPr>
          <w:i/>
          <w:iCs/>
        </w:rPr>
        <w:t>cratialité</w:t>
      </w:r>
      <w:r>
        <w:rPr/>
        <w:t xml:space="preserve"> hyper-efficiente à fondement peu exposable ou désarrimé engendre de la brutalité technicienne. Une </w:t>
      </w:r>
      <w:r>
        <w:rPr>
          <w:i/>
          <w:iCs/>
        </w:rPr>
        <w:t>archicration</w:t>
      </w:r>
      <w:r>
        <w:rPr/>
        <w:t xml:space="preserve"> procédurale sans fondation partagée tourne à vide sans adhésion dans le pur arbitraire. L’analyse archicratique repose alors sur un principe de consistance dynamique : </w:t>
      </w:r>
      <w:r>
        <w:rPr>
          <w:i/>
          <w:iCs/>
        </w:rPr>
        <w:t>toute régulation politiquement viable est un régime où la légitimité fondatrice, la puissance opératoire et la scène contradictoire s’équilibrent par ajustements réciproques.</w:t>
      </w:r>
    </w:p>
    <w:p>
      <w:pPr>
        <w:pStyle w:val="BodyText"/>
        <w:rPr/>
      </w:pPr>
      <w:r>
        <w:rPr/>
        <w:t>Cette dynamique se lit dans la manière dont une règle renvoie à une doctrine, dont un instrument laisse place à une critique, dont une norme peut évoluer par révision. Prenons un exemple : un protocole sanitaire. Il peut être fondé (</w:t>
      </w:r>
      <w:r>
        <w:rPr>
          <w:i/>
          <w:iCs/>
        </w:rPr>
        <w:t>arcalité</w:t>
      </w:r>
      <w:r>
        <w:rPr/>
        <w:t xml:space="preserve"> scientifique ou juridique), appliqué (</w:t>
      </w:r>
      <w:r>
        <w:rPr>
          <w:i/>
          <w:iCs/>
        </w:rPr>
        <w:t>cratialité</w:t>
      </w:r>
      <w:r>
        <w:rPr/>
        <w:t xml:space="preserve"> technique et administrative), mais si aucune révision n’est possible en cas de controverse, l’</w:t>
      </w:r>
      <w:r>
        <w:rPr>
          <w:i/>
          <w:iCs/>
        </w:rPr>
        <w:t>archicration</w:t>
      </w:r>
      <w:r>
        <w:rPr/>
        <w:t xml:space="preserve"> fait défaut — et le dispositif devient pure contrainte et imposition. À l’inverse, une procédure ouverte à la contestation qui ne serait pas adossée à un fondement clair produirait du désordre, du flottement ou de l’épuisement normatif.</w:t>
      </w:r>
    </w:p>
    <w:p>
      <w:pPr>
        <w:pStyle w:val="BodyText"/>
        <w:rPr/>
      </w:pPr>
      <w:r>
        <w:rPr/>
        <w:t>Il importe alors de penser la régulation non comme une mécanique fluide, mais comme une tension permanente entre ces trois forces. Cette tension est le lieu même du politique : non pas la résolution harmonieuse des contradictions, mais leur tenue articulée, leur co-présence régulée, leur exposition mutuelle. Une société démocratique n’est pas celle qui équilibre idéalement les trois pôles, mais celle qui rend visible et opposable leurs conflits, et qui instaure les moyens de leur reprise collective.</w:t>
      </w:r>
    </w:p>
    <w:p>
      <w:pPr>
        <w:pStyle w:val="BodyText"/>
        <w:rPr/>
      </w:pPr>
      <w:r>
        <w:rPr/>
        <w:t xml:space="preserve">C’est pourquoi la cartographie archicratique ne vise pas à repérer des dispositifs « purs », mais à diagnostiquer des régimes de composition : </w:t>
      </w:r>
      <w:r>
        <w:rPr>
          <w:i/>
          <w:iCs/>
        </w:rPr>
        <w:t>comment s’agencent, dans tel ou tel secteur, l’arcalité, la cratialité et l’archicration ? Quelle est la qualité de leur articulation ? Quels seuils de domination ou de carence observe-t-on ?</w:t>
      </w:r>
      <w:r>
        <w:rPr/>
        <w:t xml:space="preserve"> Cette dynamique nous conduit directement à la section 1.1.4, où nous décrirons les premiers cas limites — ces régulations déséquilibrées où un seul pôle l’emporte, où les autres se retirent, où l’ordre se fige ou s’effondre. Ce sont ces cas extrêmes qui révéleront, par contraste, ce qui fait la cohérence — ou la défaillance — d’une régulation.</w:t>
      </w:r>
    </w:p>
    <w:p>
      <w:pPr>
        <w:pStyle w:val="BodyText"/>
        <w:rPr/>
      </w:pPr>
      <w:r>
        <w:rPr/>
        <w:t>Ainsi, loin de reposer sur une addition de fonctions ou un empilement de principes, le paradigme archicratique se fonde sur l’analyse différentielle de l’articulation dynamique entre fondement, opération et épreuve. C’est cette tension constitutive — ni soluble, ni effaçable — qui fait de la régulation un fait politique, et non une simple organisation. Et c’est par l’analyse rigoureuse de cette dynamique que nous pourrons, dans les sections ultérieures, préciser les premiers déséquilibres (1.1.4), puis plus tard dans le chapitre, les formes dynamiques de la tenue archicratique (1.5), les repères heuristiques (1.6) et les morphologies opérantes (1.7).</w:t>
      </w:r>
    </w:p>
    <w:p>
      <w:pPr>
        <w:pStyle w:val="Heading3"/>
        <w:numPr>
          <w:ilvl w:val="2"/>
          <w:numId w:val="2"/>
        </w:numPr>
        <w:rPr/>
      </w:pPr>
      <w:r>
        <w:rPr/>
        <w:t>1.1.4 — Premiers cas limites : déséquilibres, courts-circuitages et régulations instables</w:t>
      </w:r>
    </w:p>
    <w:p>
      <w:pPr>
        <w:pStyle w:val="BodyText"/>
        <w:rPr/>
      </w:pPr>
      <w:r>
        <w:rPr/>
        <w:t>Encore faut-il que notre construction tripartite permette de repérer les régulations qui échouent, non par absence de dispositifs, mais par déséquilibre interne entre les trois pôles constitutifs du paradigme. C’est précisément dans ces cas limites — ces régimes pathologiques où un seul pôle écrase ou court-circuite les autres — que la robustesse analytique du paradigme archicratique peut se vérifier. Ce ne sont pas des anomalies anecdotiques, mais des figures structurantes de la régulation contemporaine, des formes typiques de désarticulation qui signent l’entrée dans une zone grise du politique : ni complètement illégitime, ni ouvertement dictatoriale, mais oblitérant l’opposabilité.</w:t>
      </w:r>
    </w:p>
    <w:p>
      <w:pPr>
        <w:pStyle w:val="BodyText"/>
        <w:rPr/>
      </w:pPr>
      <w:r>
        <w:rPr/>
        <w:t>La première configuration critique est celle de la cratialité orpheline, où la puissance d’agir tend à s’autonomiser sur fond d’arcalité faiblement formulable et d’archicration neutralisée, comprimée ou rendue pratiquement inopérante. On y observe des chaînes d’exécution hautement performantes — plateformes logistiques, tableaux de pilotage budgétaire, algorithmes décisionnels, procédures automatisées — qui fonctionnent avec des fondements peu explicités pour les affectés et avec des voies de reprise, de contestation ou de recours soit relocalisées hors d’atteinte, soit fictives, soit matériellement impraticables. La décision y devient impersonnelle, difficilement attaquable, et souvent non négociable dans les faits. Ce qui caractérise cette configuration n’est donc pas l’absence absolue de fondement ou de scène, mais leur dégradation opératoire : l’arcalité subsiste sous forme implicite, technique ou déléguée ; l’archicration subsiste comme possibilité affaiblie, mimée ou neutralisée ; tandis que la cratialité, elle, concentre l’effectivité.</w:t>
      </w:r>
    </w:p>
    <w:p>
      <w:pPr>
        <w:pStyle w:val="BodyText"/>
        <w:rPr/>
      </w:pPr>
      <w:r>
        <w:rPr/>
        <w:t>La seconde figure limite est celle de l’</w:t>
      </w:r>
      <w:r>
        <w:rPr>
          <w:i/>
          <w:iCs/>
        </w:rPr>
        <w:t>arcalité</w:t>
      </w:r>
      <w:r>
        <w:rPr/>
        <w:t xml:space="preserve"> désincarnée, où les récits fondateurs subsistent — parfois en majesté — mais ne produisent plus d’effet régulateur. Constitutions vénérées, serments solennels, principes éthiques, déclarations universelles sont mobilisés dans les discours, affichés dans les chartes, mais ne traversent plus les dispositifs opératoires. Il en résulte un régime de performativité déconnectée : les institutions prétendent être fondées en droit ou en humanisme, mais leur fonctionnement réel s’émancipe totalement de ce socle. L’arcalité devient alors décorative, voire purement instrumentale : c’est le cas des appels républicains dans des politiques autoritaires, des valeurs affichées dans des dispositifs inaccessibles, ou des codes d’éthique utilisés pour justifier des dispositifs de surveillance. Ce désajustement génère une forme de désorientation politique profonde, où la norme déclarée et la norme opératoire ne se rejoignent plus.</w:t>
      </w:r>
    </w:p>
    <w:p>
      <w:pPr>
        <w:pStyle w:val="BodyText"/>
        <w:rPr/>
      </w:pPr>
      <w:r>
        <w:rPr/>
        <w:t>La troisième pathologie est celle de l’</w:t>
      </w:r>
      <w:r>
        <w:rPr>
          <w:i/>
          <w:iCs/>
        </w:rPr>
        <w:t>archicration</w:t>
      </w:r>
      <w:r>
        <w:rPr/>
        <w:t xml:space="preserve"> fictive, où des scènes de dispute sont instaurées, mais sans effectivité palpable. Le dispositif donne l’apparence d’un contradictoire — consultation publique, boîte à idées, forum participatif, convention citoyenne, droit de recours — mais en réalité, les conditions de l’opposabilité demeurent formelles ou insuffisamment opérantes : délais trop courts, opacité des motifs, non-publication des réponses, filtrage des revendications, absence de prise sur la décision finale. Cette forme de mise en scène procédurale produit une illusion de démocratie régulée, où la scène d’épreuve est ritualisée sans effet. L’</w:t>
      </w:r>
      <w:r>
        <w:rPr>
          <w:i/>
          <w:iCs/>
        </w:rPr>
        <w:t>archicration</w:t>
      </w:r>
      <w:r>
        <w:rPr/>
        <w:t xml:space="preserve"> existe ici comme spectacle, non comme épreuve, et contribue paradoxalement à renforcer l’irréversibilité des décisions prises. C’est le cas par exemple de certaines concertations environnementales menées en urgence, où les contributions citoyennes sont enregistrées, mais sans être prises en compte ni motivées dans les décisions finales.</w:t>
      </w:r>
    </w:p>
    <w:p>
      <w:pPr>
        <w:pStyle w:val="BodyText"/>
        <w:rPr/>
      </w:pPr>
      <w:r>
        <w:rPr/>
        <w:t>Ces pathologies peuvent en outre se radicaliser lorsque l’un des trois pôles tend à absorber la fonction des deux autres. Une cratialité surpuissante peut ainsi se légitimer par sa seule effectuation ; une arcalité absolutisée peut neutraliser toute possibilité réelle de dispute ; une archicration proliférante peut, à l’inverse, dissoudre l’effectuation dans une sur-opposabilité paralysante. Il ne s’agit pas ici de multiplier les catégories pour elles-mêmes, mais de signaler les formes-limites où la différenciation des pôles cesse d’être tenue, et où la régulation bascule vers l’imposition, l’impuissance ou le simulacre.</w:t>
      </w:r>
    </w:p>
    <w:p>
      <w:pPr>
        <w:pStyle w:val="BodyText"/>
        <w:rPr/>
      </w:pPr>
      <w:r>
        <w:rPr/>
        <w:t>Ces cas limites ne sont pas simplement pathologiques : ils sont heuristiquement structurants. Ils montrent comment l’équilibre entre les pôles ne relève ni d’une essence ni d’une norme, mais d’un jeu d’ajustement toujours instable, toujours à documenter. C’est dans leur désajustement que se révèlent les conditions minimales de viabilité politique d’un dispositif. Car une formation collective peut se maintenir durablement sous déficit d’arcalité, sous atrophie de l’archicration, ou sous affaissement de la cratialité ; mais elle cesse alors d’être un ordre politique pleinement habitable. Elle persiste au prix d’une dégradation de sa co-viabilité, et tend à devenir un régime bloqué de contrainte, de vacance ou d’impuissance.</w:t>
      </w:r>
    </w:p>
    <w:p>
      <w:pPr>
        <w:pStyle w:val="BodyText"/>
        <w:rPr/>
      </w:pPr>
      <w:r>
        <w:rPr/>
        <w:t>À l’inverse, ces cas-limites valent aussi comme révélateurs d’une exigence positive : ils indiquent, par contraste, ce qu’une tenue archicratique minimale doit préserver pour qu’une régulation demeure habitable, révisable et politiquement soutenable.</w:t>
      </w:r>
    </w:p>
    <w:p>
      <w:pPr>
        <w:pStyle w:val="BodyText"/>
        <w:rPr/>
      </w:pPr>
      <w:r>
        <w:rPr/>
        <w:t>Enfin, ces déséquilibres ne doivent pas être lus comme des erreurs de conception ou des dysfonctionnements ponctuels. Ils signalent souvent des régimes intentionnels de régulation, où le défaut d’exposition du fondement, la neutralisation de la dispute ou la saturation de l’opération sont stratégiquement construits pour éviter l’épreuve politique. C’est ici que le paradigme archicratique déploie sa force critique : en rendant visibles ces dispositifs qui, tout en étant fonctionnels, se soustraient à la critique, à la comparution, à l’épreuve.</w:t>
      </w:r>
    </w:p>
    <w:p>
      <w:pPr>
        <w:pStyle w:val="BodyText"/>
        <w:rPr/>
      </w:pPr>
      <w:r>
        <w:rPr/>
        <w:t>Mais d’ores et déjà, cette exploration des désajustements initiaux nous permet de poser une hypothèse structurante : une régulation devient politiquement problématique non lorsqu’un pôle manque absolument, mais lorsque ses interactions avec les autres sont rompues, perverties, neutralisées. Ce sont ces configurations, ces bifurcations, ces effets de bascule que l’analyse archicratique doit pouvoir capter, nommer, décrire et critiquer.</w:t>
      </w:r>
    </w:p>
    <w:p>
      <w:pPr>
        <w:pStyle w:val="Heading2"/>
        <w:numPr>
          <w:ilvl w:val="1"/>
          <w:numId w:val="2"/>
        </w:numPr>
        <w:rPr/>
      </w:pPr>
      <w:r>
        <w:rPr/>
        <w:t>1.2 — Statut politique du paradigme archicratique : méta-régime ou catégorie critique ?</w:t>
      </w:r>
    </w:p>
    <w:p>
      <w:pPr>
        <w:pStyle w:val="BodyText"/>
        <w:rPr/>
      </w:pPr>
      <w:r>
        <w:rPr/>
        <w:t>Poser un paradigme ne se réduit pas à introduire un outil de lecture, un angle interprétatif ou un cadre d’analyse ; c’est inscrire une thèse dans le champ conflictuel des catégories politiques. Il ne saurait y avoir de paradigme neutre, de grille d’intelligibilité désengagée, de dispositif conceptuel sans enjeu. C’est pourquoi, à ce stade du chapitre, une clarification s’impose : le paradigme archicratique est-il une simple catégorie analytique, un modèle typologique comme tant d’autres — ou engage-t-il une hypothèse plus forte, de type ontologique, politique et structural ?</w:t>
      </w:r>
    </w:p>
    <w:p>
      <w:pPr>
        <w:pStyle w:val="BodyText"/>
        <w:rPr/>
      </w:pPr>
      <w:r>
        <w:rPr/>
        <w:t>Autrement dit : l’archicratie est-elle une simple catégorie analytique, ou engage-t-elle une hypothèse plus forte sur les conditions structurelles de viabilité politique ? Est-elle une forme historique parmi d’autres — ou la qualité régulatoire minimale requise de tout ordre politique légitime ? Peut-elle se superposer à des régimes démocratiques, autoritaires, néolibéraux, théocratiques — ou prétend-elle les traverser, les qualifier, les réorganiser en profondeur selon d’autres lignes de fracture que celles héritées des sciences politiques classiques ?</w:t>
      </w:r>
    </w:p>
    <w:p>
      <w:pPr>
        <w:pStyle w:val="BodyText"/>
        <w:rPr/>
      </w:pPr>
      <w:r>
        <w:rPr/>
        <w:t>Cette question du statut épistémologique et politique du paradigme est décisive. Car si l’</w:t>
      </w:r>
      <w:r>
        <w:rPr>
          <w:i/>
          <w:iCs/>
        </w:rPr>
        <w:t>archicratie</w:t>
      </w:r>
      <w:r>
        <w:rPr/>
        <w:t xml:space="preserve"> n’est qu’un modèle supplémentaire dans la constellation des formes de pouvoir — après la souveraineté, la gouvernance, la gouvernementalité, le management, la régulation — elle n’apporte qu’une lecture parmi d’autres, certes originale, mais substituable. Si, au contraire, elle est conçue comme un méta-régime, alors elle ne se contente pas de décrire une forme : elle propose une nouvelle manière de penser ce qu’est un ordre politique viable, en le définissant non par ses institutions ou ses idéaux, mais par la structure de tension entre fondation, opération et épreuve.</w:t>
      </w:r>
    </w:p>
    <w:p>
      <w:pPr>
        <w:pStyle w:val="BodyText"/>
        <w:rPr/>
      </w:pPr>
      <w:r>
        <w:rPr/>
        <w:t>Nous entrons donc ici dans un moment de clarification paradigmatique : il s’agit de déterminer avec précision le statut de l’archicratie dans l’écologie conceptuelle des sciences politiques et de la philosophie politique, en distinguant successivement les niveaux de régime, de forme et de structure, puis la portée des méta-régimes et les critères de validité du paradigme. Car à la différence d’une idéologie ou d’un modèle de gouvernement, un paradigme n’est pas une prescription ni une utopie : c’est une configuration conceptuelle opératoire, falsifiable, interprétable, transversale.</w:t>
      </w:r>
    </w:p>
    <w:p>
      <w:pPr>
        <w:pStyle w:val="BodyText"/>
        <w:rPr/>
      </w:pPr>
      <w:r>
        <w:rPr/>
        <w:t>Cette précision appelle toutefois une limitation explicite, sans laquelle la portée du paradigme risquerait d’être surévaluée. L’archicratie n’a pas vocation à devenir une théorie générale de tout phénomène social ni, a fortiori, de toute dynamique du réel. Elle ne vaut qu’à l’intérieur d’un champ déterminé : celui des régulations instituées, médiées, symboliquement ou techniquement relayées, dans lesquelles peuvent être distingués, au moins minimalement, un principe de recevabilité, une prise opératoire et une scène — fût-elle affaiblie, relocalisée ou empêchée — de reprise ou d’épreuve. Là où ces médiations font défaut, là où l’on n’a affaire qu’à des réactions immédiates, à des interactions trop ténues pour engager une co-viabilité structurante, ou à des systèmes formels clos sans scène d’opposabilité, le paradigme ne s’invalide pas : il cesse simplement d’être le bon instrument. Cette borne n’amoindrit pas sa portée ; elle en constitue au contraire la condition de précision.</w:t>
      </w:r>
    </w:p>
    <w:p>
      <w:pPr>
        <w:pStyle w:val="BodyText"/>
        <w:rPr/>
      </w:pPr>
      <w:r>
        <w:rPr/>
        <w:t>Et c’est dans cette tension — entre diagnostic et normativité, entre transversalité et historicité, entre critique et cartographie — que le paradigme archicratique doit désormais se situer, pour s’éprouver comme instrument de pensée politique et comme hypothèse heuristique à l’épreuve des chapitres suivants.</w:t>
      </w:r>
    </w:p>
    <w:p>
      <w:pPr>
        <w:pStyle w:val="Heading3"/>
        <w:numPr>
          <w:ilvl w:val="2"/>
          <w:numId w:val="2"/>
        </w:numPr>
        <w:rPr/>
      </w:pPr>
      <w:r>
        <w:rPr/>
        <w:t>1.2.1 — Régime, forme, structure : clarification des niveaux d’analyse</w:t>
      </w:r>
    </w:p>
    <w:p>
      <w:pPr>
        <w:pStyle w:val="BodyText"/>
        <w:rPr/>
      </w:pPr>
      <w:r>
        <w:rPr/>
        <w:t>Pour mesurer la portée du paradigme archicratique, il faut d’abord distinguer trois plans souvent confondus : le régime, la forme et la structure. Penser le politique suppose toujours, à un moment donné, de se situer dans une hiérarchie conceptuelle : à quels niveaux se déploient les régulations ? où s’arrête la description ? où commence l’hypothèse sur leurs conditions de possibilité ?</w:t>
      </w:r>
    </w:p>
    <w:p>
      <w:pPr>
        <w:pStyle w:val="BodyText"/>
        <w:rPr/>
      </w:pPr>
      <w:r>
        <w:rPr/>
        <w:t>Un régime, au sens classique des sciences politiques (depuis Aristote jusqu’à Linz, Sartori ou Bobbio), désigne un type de gouvernement fondé sur une certaine configuration d’institutions, de normes et de principes de légitimation. Démocratie représentative, monarchie constitutionnelle, autoritarisme plébiscitaire, théocratie — autant de régimes qui décrivent des architectures institutionnelles différenciées, avec leurs acteurs, leurs règles du jeu, leurs modes de reproduction. Le régime est donc un ensemble visible, énonçable, formalisé, que l’on peut inscrire dans une histoire constitutionnelle, un droit positif et une morphologie institutionnelle repérable.</w:t>
      </w:r>
    </w:p>
    <w:p>
      <w:pPr>
        <w:pStyle w:val="BodyText"/>
        <w:rPr/>
      </w:pPr>
      <w:r>
        <w:rPr/>
        <w:t>La forme, en revanche, relève d’un niveau intermédiaire. Elle désigne les modalités concrètes par lesquelles un régime opère : centralisation ou fédéralisme, pluralisme ou hégémonie, verticalité ou collégialité, technocratie ou populisme, rationalité procédurale ou charisme personnel. Ces formes sont souvent hybrides, fluctuantes, recombinées. On peut être en démocratie représentative avec une forme technocratique dominante ; on peut être en monarchie constitutionnelle avec des formes participatives. C’est le niveau des régimes effectifs, là où les institutions rencontrent la culture politique, les rapports de force, les usages sociaux. C’est aussi le niveau de l’analyse comparative, des études de cas, des diagnostics empiriques.</w:t>
      </w:r>
    </w:p>
    <w:p>
      <w:pPr>
        <w:pStyle w:val="BodyText"/>
        <w:rPr/>
      </w:pPr>
      <w:r>
        <w:rPr/>
        <w:t xml:space="preserve">Mais en-dessous de ces formes, il y a la structure régulatrice : un plan plus profond, plus transversal, plus déterminant, qui ne désigne ni les institutions ni les pratiques, mais les conditions même de possibilité de la régulation politique. Cette structure est ce qui permet — ou non — qu’un ordre se rende visible, controversable, habitable. Elle ne renvoie pas à une architecture constitutionnelle, mais à une configuration d’agencement entre ce qui fonde, ce qui opère, et ce qui permet d’en discuter. C’est là que se situe l’hypothèse archicratique : non au niveau des régimes ou des formes, mais au niveau de la structure régulatrice profonde, ce que l’on pourrait appeler, en empruntant à Lévi-Strauss ou à Althusser, un </w:t>
      </w:r>
      <w:r>
        <w:rPr>
          <w:i/>
          <w:iCs/>
        </w:rPr>
        <w:t>inconscient politique de la régulation</w:t>
      </w:r>
      <w:r>
        <w:rPr/>
        <w:t>.</w:t>
      </w:r>
    </w:p>
    <w:p>
      <w:pPr>
        <w:pStyle w:val="BodyText"/>
        <w:rPr/>
      </w:pPr>
      <w:r>
        <w:rPr/>
        <w:t>L’autarchicratie ne constitue donc pas un régime politique de plus. Elle n’est ni la cousine néolibérale de la démocratie, ni une simple dérive technocratique de l’État-nation. Elle désigne la dérive par laquelle des architectures régulatrices continuent d’opérer tout en se soustrayant progressivement à la scène d’épreuve : les fondements ne disparaissent pas nécessairement, mais deviennent de moins en moins susceptibles d’exposition ; les procédures contradictoires peuvent subsister, mais se vident, se simulent ou deviennent inopérantes ; et la régulation tend à se refermer sur sa propre logique d’exécution. À ce titre, l’autarchicratie peut traverser différents régimes politiques, s’y superposer, y introduire des inerties, des fermetures ou des parasitages silencieux. Un régime peut ainsi être démocratique en apparence, tout en dérivant vers une structure opératoire autarchicratique. Inversement, certaines formes autoritaires peuvent encore ménager des archicrations ponctuelles, permettant le maintien d’une conflictualité politique minimale. C’est ce qui rend l’autarchicratie difficile à identifier, et pourtant nécessaire à penser : elle ne se lit pas seulement dans les institutions, mais dans la manière dont un ordre rend — ou non — sa régulation exposable, opposable, différable et révisable.</w:t>
      </w:r>
    </w:p>
    <w:p>
      <w:pPr>
        <w:pStyle w:val="BodyText"/>
        <w:rPr/>
      </w:pPr>
      <w:r>
        <w:rPr/>
        <w:t>Cette distinction entre régime, forme, et structure n’est pas simplement académique. Elle est politiquement décisive. Car c’est elle qui permet d’éviter deux écueils fréquents : le fétichisme institutionnel (croire qu’un régime démocratique suffit à garantir une régulation juste), et le scepticisme cynique (penser que toute régulation est toujours déjà close, dominée, irréformable). L’</w:t>
      </w:r>
      <w:r>
        <w:rPr>
          <w:i/>
          <w:iCs/>
        </w:rPr>
        <w:t>archicratie</w:t>
      </w:r>
      <w:r>
        <w:rPr/>
        <w:t xml:space="preserve"> introduit un plan d’analyse transversal, qui oblige à questionner non ce que les institutions prétendent, mais ce qu’elles permettent réellement en termes de fondement, d’opération, et de dispute. Elle ouvre une lecture différentielle du politique, fondée non sur l’étiquette (démocratie ou non), mais sur la qualité régulatrice de l’ordre.</w:t>
      </w:r>
    </w:p>
    <w:p>
      <w:pPr>
        <w:pStyle w:val="BodyText"/>
        <w:rPr/>
      </w:pPr>
      <w:r>
        <w:rPr/>
        <w:t>En clarifiant ce niveau d’analyse, on peut désormais définir l’</w:t>
      </w:r>
      <w:r>
        <w:rPr>
          <w:i/>
          <w:iCs/>
        </w:rPr>
        <w:t>archicratie</w:t>
      </w:r>
      <w:r>
        <w:rPr/>
        <w:t xml:space="preserve"> non plus comme catégorie critique isolée, mais comme </w:t>
      </w:r>
      <w:r>
        <w:rPr>
          <w:i/>
          <w:iCs/>
        </w:rPr>
        <w:t>méta-régime</w:t>
      </w:r>
      <w:r>
        <w:rPr/>
        <w:t xml:space="preserve"> — c’est-à-dire comme grille d’intelligibilité transversale, permettant d’évaluer la robustesse ou la fragilité politique d’un ordre, quel que soit son étiquetage institutionnel.</w:t>
      </w:r>
    </w:p>
    <w:p>
      <w:pPr>
        <w:pStyle w:val="Heading3"/>
        <w:numPr>
          <w:ilvl w:val="2"/>
          <w:numId w:val="2"/>
        </w:numPr>
        <w:rPr/>
      </w:pPr>
      <w:r>
        <w:rPr/>
        <w:t>1.2.2 — L’archicratie comme méta-régime transversal de la régulation</w:t>
      </w:r>
    </w:p>
    <w:p>
      <w:pPr>
        <w:pStyle w:val="BodyText"/>
        <w:rPr/>
      </w:pPr>
      <w:r>
        <w:rPr/>
        <w:t>Comme nous l’avons établi, l’archicratie n’est pas un type de régime politique au sens classique du terme. Elle n’est ni une démocratie, ni une autocratie, ni une technocratie, ni une bureaucratie au sens formel. Elle n’est pas définie par un mode d’accès au pouvoir, une forme de représentation, ou une structure constitutionnelle donnée. Elle ne se substitue pas aux régimes : elle les traverse, les reconfigure, parfois les parasite ou les redouble. Ce que le paradigme archicratique propose, ce n’est donc pas d’ajouter une étiquette à la typologie déjà saturée des formes politiques, mais de formuler une hypothèse forte sur la structure profonde qui rend possible — ou impossible — la régulation politique dans ses dimensions fondamentales.</w:t>
      </w:r>
    </w:p>
    <w:p>
      <w:pPr>
        <w:pStyle w:val="BodyText"/>
        <w:rPr/>
      </w:pPr>
      <w:r>
        <w:rPr/>
        <w:t>C’est en ce sens que nous définissons l’</w:t>
      </w:r>
      <w:r>
        <w:rPr>
          <w:i/>
          <w:iCs/>
        </w:rPr>
        <w:t>archicratie comme un méta-régime de régulation</w:t>
      </w:r>
      <w:r>
        <w:rPr/>
        <w:t>.</w:t>
      </w:r>
    </w:p>
    <w:p>
      <w:pPr>
        <w:pStyle w:val="BodyText"/>
        <w:rPr/>
      </w:pPr>
      <w:r>
        <w:rPr/>
        <w:t>Un méta-régime n’est pas une catégorie de surface. Il ne désigne pas un type d’organisation institutionnelle, ni même un modèle de gouvernement parmi d’autres. Il opère à un niveau plus profond : celui des conditions de possibilité de la régulation, celui de l’articulation — ou de la disjonction — entre les trois dimensions constitutives que nous avons décrites : l’</w:t>
      </w:r>
      <w:r>
        <w:rPr>
          <w:i/>
          <w:iCs/>
        </w:rPr>
        <w:t>arcalité</w:t>
      </w:r>
      <w:r>
        <w:rPr/>
        <w:t xml:space="preserve"> (fondement), la </w:t>
      </w:r>
      <w:r>
        <w:rPr>
          <w:i/>
          <w:iCs/>
        </w:rPr>
        <w:t>cratialité</w:t>
      </w:r>
      <w:r>
        <w:rPr/>
        <w:t xml:space="preserve"> (opération), et l’</w:t>
      </w:r>
      <w:r>
        <w:rPr>
          <w:i/>
          <w:iCs/>
        </w:rPr>
        <w:t>archicration</w:t>
      </w:r>
      <w:r>
        <w:rPr/>
        <w:t xml:space="preserve"> (épreuve). Là où les régimes désignent des structures politiques historiquement repérables, le méta-régime désigne la manière dont ces structures rendent (ou non) leurs propres régulations exposables à la contradiction, à la reprise et à la révision.</w:t>
      </w:r>
    </w:p>
    <w:p>
      <w:pPr>
        <w:pStyle w:val="BodyText"/>
        <w:rPr/>
      </w:pPr>
      <w:r>
        <w:rPr/>
        <w:t xml:space="preserve">Dit autrement, un </w:t>
      </w:r>
      <w:r>
        <w:rPr>
          <w:i/>
          <w:iCs/>
        </w:rPr>
        <w:t>méta-régime</w:t>
      </w:r>
      <w:r>
        <w:rPr/>
        <w:t xml:space="preserve"> n’est pas une forme politique particulière, mais un </w:t>
      </w:r>
      <w:r>
        <w:rPr>
          <w:i/>
          <w:iCs/>
        </w:rPr>
        <w:t>rapport entre les formes, un agencement systémique entre ce qui fonde, ce qui opère et ce qui rend opposable</w:t>
      </w:r>
      <w:r>
        <w:rPr/>
        <w:t>. Il ne se lit pas dans les discours publics, ni même dans les textes constitutionnels : il se repère dans la cohérence (ou l’incohérence) d’un dispositif de régulation. Ce que propose le paradigme archicratique, c’est donc un analyseur transversal des états de régulation dans toute configuration politique donnée, en interrogeant non pas leur légalité ou leur conformité, mais leur tenue archicrative effective.</w:t>
      </w:r>
    </w:p>
    <w:p>
      <w:pPr>
        <w:pStyle w:val="BodyText"/>
        <w:rPr/>
      </w:pPr>
      <w:r>
        <w:rPr/>
        <w:t xml:space="preserve">Cette grille permet par exemple de comparer un dispositif d’allocation d’aides sociales dans une démocratie représentative, un protocole sanitaire dans une dictature </w:t>
      </w:r>
      <w:r>
        <w:rPr>
          <w:i/>
          <w:iCs/>
        </w:rPr>
        <w:t>soft</w:t>
      </w:r>
      <w:r>
        <w:rPr/>
        <w:t>, ou un mécanisme d’ajustement budgétaire dans une structure supra-étatique. Ce qui compte, ce n’est pas l’étiquette politique du régime, mais la qualité de sa régulation au regard des trois critères fondamentaux : le fondement mobilisé (</w:t>
      </w:r>
      <w:r>
        <w:rPr>
          <w:i/>
          <w:iCs/>
        </w:rPr>
        <w:t>arcalité</w:t>
      </w:r>
      <w:r>
        <w:rPr/>
        <w:t>), les moyens d’effectuation (</w:t>
      </w:r>
      <w:r>
        <w:rPr>
          <w:i/>
          <w:iCs/>
        </w:rPr>
        <w:t>cratialité</w:t>
      </w:r>
      <w:r>
        <w:rPr/>
        <w:t>), et les possibilités instituées de contestation (</w:t>
      </w:r>
      <w:r>
        <w:rPr>
          <w:i/>
          <w:iCs/>
        </w:rPr>
        <w:t>archicration</w:t>
      </w:r>
      <w:r>
        <w:rPr/>
        <w:t>). L’</w:t>
      </w:r>
      <w:r>
        <w:rPr>
          <w:i/>
          <w:iCs/>
        </w:rPr>
        <w:t>archicratie</w:t>
      </w:r>
      <w:r>
        <w:rPr/>
        <w:t xml:space="preserve"> devient ainsi un analyseur paradigmatique, c’est-à-dire une manière de lire des dispositifs en détectant ce qui s’y fonde, ce qui y opère, et ce qui s’y dispute — ou non.</w:t>
      </w:r>
    </w:p>
    <w:p>
      <w:pPr>
        <w:pStyle w:val="BodyText"/>
        <w:rPr/>
      </w:pPr>
      <w:r>
        <w:rPr/>
        <w:t>Cette approche n’est pas purement descriptive. Elle est diagnostique, critique, opposable. Elle permet de dire : « ici, l’ordre régulateur semble robuste, mais il fonctionne désormais sur un mode autarchicratique, en ce qu’il devient indisputable » ; ou bien : « ce dispositif mobilise un fondement fort, mais sa cratialité se déploie avec un contrôle affaibli et une scène de recours neutralisée, comprimée ou rendue pratiquement inopérante ». En ce sens, l’archicratie n’est pas un concept mollement critique : elle est une épreuve conceptuelle pour les régimes existants, un test de viabilité politique, une mise à nu des écarts entre l’invocation des principes et la structure réelle de la régulation.</w:t>
      </w:r>
    </w:p>
    <w:p>
      <w:pPr>
        <w:pStyle w:val="BodyText"/>
        <w:rPr/>
      </w:pPr>
      <w:r>
        <w:rPr/>
        <w:t xml:space="preserve">Mais surtout, cette conceptualisation du </w:t>
      </w:r>
      <w:r>
        <w:rPr>
          <w:i/>
          <w:iCs/>
        </w:rPr>
        <w:t>méta-régime archicratique</w:t>
      </w:r>
      <w:r>
        <w:rPr/>
        <w:t xml:space="preserve"> permet de dépasser deux impasses majeures des théories politiques classiques. La première, </w:t>
      </w:r>
      <w:r>
        <w:rPr>
          <w:i/>
          <w:iCs/>
        </w:rPr>
        <w:t>normative</w:t>
      </w:r>
      <w:r>
        <w:rPr/>
        <w:t>, qui suppose qu’un régime est légitime parce qu’il respecte formellement certaines règles (élections, séparation des pouvoirs, État de droit). Or, ces règles peuvent subsister tandis que la régulation réelle devient opaque, automatique ou imperméable à la contestation.</w:t>
      </w:r>
    </w:p>
    <w:p>
      <w:pPr>
        <w:pStyle w:val="BodyText"/>
        <w:rPr/>
      </w:pPr>
      <w:r>
        <w:rPr/>
        <w:t xml:space="preserve">La seconde, que nous nommons </w:t>
      </w:r>
      <w:r>
        <w:rPr>
          <w:i/>
          <w:iCs/>
        </w:rPr>
        <w:t>contextualisée</w:t>
      </w:r>
      <w:r>
        <w:rPr/>
        <w:t>, qui affirme que chaque régime porte sa cohérence interne, ses normes propres, son rythme historique. Certes. Mais le paradigme archicratique montre que certaines tensions traversent tous les régimes : celle entre ce qui fonde, ce qui opère, et ce qui conteste. Et que c’est dans cette tension que se joue la co-viabilité politique réelle d’un ordre.</w:t>
      </w:r>
    </w:p>
    <w:p>
      <w:pPr>
        <w:pStyle w:val="BodyText"/>
        <w:rPr/>
      </w:pPr>
      <w:r>
        <w:rPr/>
        <w:t>En ce sens, on peut dire que le paradigme archicratique relève d’une démarche post-wébérienne : il ne cherche pas à classer les régimes d’autorité selon des types idéaux de légitimation (traditionnelle, charismatique, légale-rationnelle), mais à analyser les conditions concrètes de l’opposabilité des régulations, indépendamment de leurs formes déclarées. Il reformule la question du pouvoir non en termes de commandement, mais en termes de co-présence entre les dimensions de fondation, d’effectuation, et de mise en épreuve.</w:t>
      </w:r>
    </w:p>
    <w:p>
      <w:pPr>
        <w:pStyle w:val="BodyText"/>
        <w:rPr/>
      </w:pPr>
      <w:r>
        <w:rPr/>
        <w:t>C’est cette transversalité — au-delà des régimes, des époques, des configurations — qui fonde l’</w:t>
      </w:r>
      <w:r>
        <w:rPr>
          <w:i/>
          <w:iCs/>
        </w:rPr>
        <w:t>archicratie</w:t>
      </w:r>
      <w:r>
        <w:rPr/>
        <w:t xml:space="preserve"> comme méta-régime analytique. Elle ne se substitue pas aux typologies existantes, mais les traverse. Elle n’invalide pas les concepts de démocratie, d’État, de représentation, mais les reconfigure en introduisant une dimension de </w:t>
      </w:r>
      <w:r>
        <w:rPr>
          <w:i/>
          <w:iCs/>
        </w:rPr>
        <w:t>régulation par tensions de co-viabilité</w:t>
      </w:r>
      <w:r>
        <w:rPr/>
        <w:t>.</w:t>
      </w:r>
    </w:p>
    <w:p>
      <w:pPr>
        <w:pStyle w:val="BodyText"/>
        <w:rPr/>
      </w:pPr>
      <w:r>
        <w:rPr/>
        <w:t xml:space="preserve">Pour cette raison, l’archicratie peut être mobilisée à la fois comme hypothèse heuristique, comme outil critique, et comme cadre de diagnostic différentiel. Elle ne prétend pas tout expliquer, mais elle permet de poser cette question décisive : </w:t>
      </w:r>
      <w:r>
        <w:rPr>
          <w:i/>
          <w:iCs/>
        </w:rPr>
        <w:t>dans un régime donné, qui peut invoquer quoi ? Qui peut agir sur quoi ? Qui peut contester quoi ? Et selon quelles formes, sous quels délais, avec quelle effectivité ?</w:t>
      </w:r>
    </w:p>
    <w:p>
      <w:pPr>
        <w:pStyle w:val="BodyText"/>
        <w:rPr/>
      </w:pPr>
      <w:r>
        <w:rPr/>
        <w:t>Encore faut-il préciser ce que signifie ici l’effectivité. Une scène d’archicration ne saurait être dite réelle du seul fait qu’un recours, une procédure ou une adresse existent nominalement. Il faut, à un seuil minimal, que quatre conditions soient réunies : que l’accès à la scène ne soit pas matériellement prohibitif ; que les motifs de décision soient suffisamment intelligibles pour autoriser une reprise ; qu’un différé non fictif permette la contestation ou la révision ; et qu’une transformation effective du cours de la décision demeure, en droit comme en pratique, au moins possible.</w:t>
      </w:r>
    </w:p>
    <w:p>
      <w:pPr>
        <w:pStyle w:val="BodyText"/>
        <w:rPr/>
      </w:pPr>
      <w:r>
        <w:rPr/>
        <w:t>Ces quatre conditions doivent être entendues comme conjointement requises au seuil plein de l’archicration effective. Elles ne relèvent pas pour autant d’un tout-ou-rien mécanique : chacune peut être satisfaite à des degrés variables, et c’est précisément cette variation qui permet de distinguer une scène pleinement praticable d’une scène dégradée, simulée ou empêchée. Mais aucune n’est substituable aux autres : l’intelligibilité des motifs ne compense pas l’impossibilité matérielle d’accès ; l’existence d’un recours ne compense pas l’absence de différé réel ; et la publicité d’une procédure ne vaut pas effectivité si aucune transformation du cours de la décision ne demeure possible.</w:t>
      </w:r>
    </w:p>
    <w:p>
      <w:pPr>
        <w:pStyle w:val="BodyText"/>
        <w:rPr/>
      </w:pPr>
      <w:r>
        <w:rPr/>
        <w:t>Là où ces conditions sont formellement affichées mais pratiquement neutralisées, il ne s’agit pas d’archicration au sens plein, mais d’une scène dégradée, simulée ou empêchée. Cette distinction sera décisive pour ne pas confondre l’existence décorative des formes avec leur consistance régulatrice réelle.</w:t>
      </w:r>
    </w:p>
    <w:p>
      <w:pPr>
        <w:pStyle w:val="BodyText"/>
        <w:rPr/>
      </w:pPr>
      <w:r>
        <w:rPr/>
        <w:t>Ce déplacement suffit à fixer le statut du paradigme. L’archicratie ne désigne pas une forme institutionnelle supplémentaire, mais le plan de régulation à partir duquel des formes politiques hétérogènes deviennent comparables quant à leur tenue, leur opposabilité et leur viabilité. Elle ne concurrence donc pas les typologies classiques ; elle en déplace le foyer d’analyse.</w:t>
      </w:r>
    </w:p>
    <w:p>
      <w:pPr>
        <w:pStyle w:val="BodyText"/>
        <w:rPr/>
      </w:pPr>
      <w:r>
        <w:rPr/>
        <w:t>Elle n’est pas une langue souveraine du politique, mais un cadre d’analyse dont la validité dépend du différentiel d’intelligibilité qu’il produit effectivement. Autrement dit : le pouvoir régule — mais est-il régulé ? Et, si ce n’est pas le cas, où est passée la scène ?</w:t>
      </w:r>
    </w:p>
    <w:p>
      <w:pPr>
        <w:pStyle w:val="Heading3"/>
        <w:numPr>
          <w:ilvl w:val="2"/>
          <w:numId w:val="2"/>
        </w:numPr>
        <w:rPr/>
      </w:pPr>
      <w:r>
        <w:rPr/>
        <w:t>1.2.3 — Les critères de validité paradigmatique : fécondité, puissance et opposabilité</w:t>
      </w:r>
    </w:p>
    <w:p>
      <w:pPr>
        <w:pStyle w:val="BodyText"/>
        <w:rPr/>
      </w:pPr>
      <w:r>
        <w:rPr/>
        <w:t>Un paradigme n’est légitime que s’il rend visible ce qui demeurait obscurci, dispersé ou neutralisé, tout en s’exposant lui-même à la critique, à la vérification et, le cas échéant, à la réfutation.</w:t>
      </w:r>
    </w:p>
    <w:p>
      <w:pPr>
        <w:pStyle w:val="BodyText"/>
        <w:rPr/>
      </w:pPr>
      <w:r>
        <w:rPr/>
        <w:t>Trois conditions principales structurent cette exigence de validité : la fécondité analytique, la puissance explicative, et surtout l’opposabilité empirique — cette dernière constituant le seuil le plus élevé de toute ambition théorique sérieuse. En cela, la validité paradigmatique ne relève ni du consensus idéologique, ni de la cohérence formelle interne : elle engage une éthique épistémique, un devoir de rigueur, un engagement de réfutabilité qui doit orienter l’ensemble de notre construction.</w:t>
      </w:r>
    </w:p>
    <w:p>
      <w:pPr>
        <w:pStyle w:val="BodyText"/>
        <w:rPr/>
      </w:pPr>
      <w:r>
        <w:rPr/>
        <w:t>Mais une telle revendication de validité resterait déclarative si elle ne précisait pas les conditions de son propre échec. En effet, le paradigme archicratique ne vaut qu’à la condition de pouvoir être mis en défaut. Il doit donc être possible d’indiquer, au moins en principe, ce qui l’infirmerait, ce qui limiterait sa portée, ou ce qui contraindrait à le réviser. Plusieurs cas doivent ici être explicitement distingués.</w:t>
      </w:r>
    </w:p>
    <w:p>
      <w:pPr>
        <w:pStyle w:val="BodyText"/>
        <w:rPr/>
      </w:pPr>
      <w:r>
        <w:rPr/>
        <w:t>Le premier cas d’invalidation serait celui d’un dispositif dans lequel aucune différenciation praticable entre fondement, opération et épreuve ne pourrait être établie autrement que par projection arbitraire de l’analyste. Si la triade n’ajoute aucune intelligibilité, si elle ne produit aucune distinction supplémentaire, si elle ne permet pas de reconstruire plus finement le fonctionnement du dispositif qu’une description ordinaire, alors le paradigme échoue dans ce cas précis.</w:t>
      </w:r>
    </w:p>
    <w:p>
      <w:pPr>
        <w:pStyle w:val="BodyText"/>
        <w:rPr/>
      </w:pPr>
      <w:r>
        <w:rPr/>
        <w:t>Le deuxième cas serait celui d’une confusion durable entre absence réelle d’un pôle et simple défaut documentaire. Qu’une scène d’épreuve ne soit pas immédiatement visible ne signifie pas qu’elle soit inexistante ; qu’un fondement soit tacite ne signifie pas qu’il soit nul ; qu’une opération soit distribuée ne signifie pas qu’elle soit indéterminable. Le paradigme ne doit donc jamais transformer une difficulté d’enquête en preuve doctrinale. Il oblige, au contraire, à distinguer entre pôle absent, pôle faible, pôle empêché, pôle simulé, pôle relocalisé ou pôle provisoirement non documenté.</w:t>
      </w:r>
    </w:p>
    <w:p>
      <w:pPr>
        <w:pStyle w:val="BodyText"/>
        <w:rPr/>
      </w:pPr>
      <w:r>
        <w:rPr/>
        <w:t>Le troisième cas d’échec serait celui d’un usage inflationniste où toute régulation, parce qu’elle agit, serait aussitôt réputée relever d’une dérive autarchicratique. Une telle généralisation viderait le paradigme de sa force différentielle. L’intérêt de l’archicratie n’est pas de tout dénoncer indistinctement, mais de qualifier des écarts, des degrés, des tensions, des bifurcations, des formes variables de tenue ou de désajustement.</w:t>
      </w:r>
    </w:p>
    <w:p>
      <w:pPr>
        <w:pStyle w:val="BodyText"/>
        <w:rPr/>
      </w:pPr>
      <w:r>
        <w:rPr/>
        <w:t>Il faut aller plus loin encore. Le paradigme peut échouer non seulement lorsqu’il projette arbitrairement sa triade sur un matériau rétif ; mais également lorsqu’il ne procure aucun gain différentiel d’intelligibilité par rapport à des cadres concurrents plus sobres ou plus précis. Si une micro-interaction ordinaire est mieux élucidée par l’ethnométhodologie, si une formalisation logique se laisse décrire de manière exhaustive dans son ordre propre sans qu’intervienne aucune scène de co-viabilité, si une séquence historique particulière est plus rigoureusement expliquée par l’histoire du droit, l’économie politique ou l’anthropologie sans qu’une lecture archicratique n’en augmente la puissance de discernement, alors il faut savoir suspendre l’usage du paradigme. Une théorie ne gagne pas en dignité en s’appliquant partout ; elle en gagne lorsqu’elle sait reconnaître les terrains où sa plus-value devient marginale, nulle voire dérisoire.</w:t>
      </w:r>
    </w:p>
    <w:p>
      <w:pPr>
        <w:pStyle w:val="BodyText"/>
        <w:rPr/>
      </w:pPr>
      <w:r>
        <w:rPr/>
        <w:t>Enfin, le paradigme doit pouvoir rencontrer des cas mixtes, ambivalents, résistants, voire contradictoires, dans lesquels certains pôles demeurent robustes alors que d’autres se dégradent. C’est même à cette condition qu’il cesse d’être un schème qui pourrait sembler dogmatique pour devenir un puissant instrument d’enquête. Sa robustesse ne se mesure donc pas à sa capacité à tout absorber, mais à sa capacité à discriminer sans simplifier, à nuancer sans dissoudre, à être contredit sans s’effondrer entièrement. C’est à cette condition qu’une fécondité analytique cesse d’être une simple promesse pour devenir une ressource réellement probante.</w:t>
      </w:r>
    </w:p>
    <w:p>
      <w:pPr>
        <w:pStyle w:val="Heading4"/>
        <w:numPr>
          <w:ilvl w:val="3"/>
          <w:numId w:val="2"/>
        </w:numPr>
        <w:rPr/>
      </w:pPr>
      <w:r>
        <w:rPr/>
        <w:t>Une fécondité analytique : produire des distinctions et ouvrir des intelligibilités</w:t>
      </w:r>
    </w:p>
    <w:p>
      <w:pPr>
        <w:pStyle w:val="BodyText"/>
        <w:rPr/>
      </w:pPr>
      <w:r>
        <w:rPr/>
        <w:t>La première exigence que doit remplir un paradigme est de produire une nouvelle grammaire du réel. Non pas un surcroît de concepts, mais une capacité à engendrer des distinctions opératoires, à rendre discernables des dynamiques qui échappaient jusqu’ici aux outils d’analyse disponibles. Un paradigme est valide lorsqu’il élargit la cartographie du pensable, lorsqu’il trace des lignes de crête dans les zones floues, lorsqu’il permet de négocier avec la complexité sans céder à la confusion.</w:t>
      </w:r>
    </w:p>
    <w:p>
      <w:pPr>
        <w:pStyle w:val="BodyText"/>
        <w:rPr/>
      </w:pPr>
      <w:r>
        <w:rPr/>
        <w:t xml:space="preserve">En ce sens, le paradigme archicratique s’avère fécond : il introduit des distinctions inédites qui viennent enrichir, affiner, complexifier, mais aussi clarifier l’analyse des dispositifs de pouvoir contemporains. Là où les grilles classiques distinguaient les régimes par leur degré de souveraineté, leur forme institutionnelle ou leur niveau de centralisation, le paradigme archicratique propose une lecture en termes de tenue de régulation : ce qui compte n’est plus uniquement </w:t>
      </w:r>
      <w:r>
        <w:rPr>
          <w:i/>
          <w:iCs/>
        </w:rPr>
        <w:t>qui gouverne</w:t>
      </w:r>
      <w:r>
        <w:rPr/>
        <w:t xml:space="preserve"> ou </w:t>
      </w:r>
      <w:r>
        <w:rPr>
          <w:i/>
          <w:iCs/>
        </w:rPr>
        <w:t>selon quelle forme</w:t>
      </w:r>
      <w:r>
        <w:rPr/>
        <w:t>, mais comment la mise en débat se compose, s’opère et se dispute. En cela, il introduit des disjonctions conceptuelles d’une acuité nouvelle entre : légitimité fondatrice et capacité opératoire ; forme déclarée et opérativité réelle ; dispositif d’autorité et scène de contestation ; régulation déclarée et absence d’épreuve.</w:t>
      </w:r>
    </w:p>
    <w:p>
      <w:pPr>
        <w:pStyle w:val="BodyText"/>
        <w:rPr/>
      </w:pPr>
      <w:r>
        <w:rPr/>
        <w:t>Il devient ainsi possible, grâce à cette grille tripolaire, de qualifier des régulations auparavant dissimulées dans le flou institutionnel, euphémisées dans les discours technocratiques ou naturalisées dans les routines bureaucratiques.</w:t>
      </w:r>
    </w:p>
    <w:p>
      <w:pPr>
        <w:pStyle w:val="Heading4"/>
        <w:numPr>
          <w:ilvl w:val="3"/>
          <w:numId w:val="2"/>
        </w:numPr>
        <w:rPr/>
      </w:pPr>
      <w:r>
        <w:rPr/>
        <w:t>Une puissance explicative : relier des phénomènes épars et construire une cohérence interprétative</w:t>
      </w:r>
    </w:p>
    <w:p>
      <w:pPr>
        <w:pStyle w:val="BodyText"/>
        <w:rPr/>
      </w:pPr>
      <w:r>
        <w:rPr/>
        <w:t>Mais encore faut-il que le paradigme soit explicatif, c’est-à-dire capable de rapprocher des phénomènes épars, de construire des séries intelligibles, de réduire la contingence apparente à des configurations discernables. Là encore, le paradigme archicratique s’impose par sa puissance intégratrice : il permet d’embrasser dans une même grille d’analyse des réalités qui, jusque-là, semblaient hétérogènes — parce que dispersées dans des domaines sectoriels (fiscalité, santé, climat, numérique, sécurité), ou parce qu’enveloppées dans des langages spécialisés (juridique, économique, algorithmique).</w:t>
      </w:r>
    </w:p>
    <w:p>
      <w:pPr>
        <w:pStyle w:val="BodyText"/>
        <w:rPr/>
      </w:pPr>
      <w:r>
        <w:rPr/>
        <w:t xml:space="preserve">C’est précisément cette capacité à unifier sans uniformiser, à articuler sans réduire, qui signe la force d’un paradigme. En </w:t>
      </w:r>
      <w:r>
        <w:rPr>
          <w:i/>
          <w:iCs/>
        </w:rPr>
        <w:t>archicratie</w:t>
      </w:r>
      <w:r>
        <w:rPr/>
        <w:t xml:space="preserve">, des phénomènes aussi variés que — la gouvernance sanitaire par indicateurs ; la régulation budgétaire par règles automatiques ; la gestion algorithmique des droits sociaux ; l’application de standards techniques globaux sans discussion locale ; ou encore la prolifération des plateformes numériques de notification unilatérale — peuvent être reliés, compris, comparés à l’aune d’une même question : </w:t>
      </w:r>
      <w:r>
        <w:rPr>
          <w:i/>
          <w:iCs/>
        </w:rPr>
        <w:t>cette régulation est-elle fondée, opérante et opposable ?</w:t>
      </w:r>
      <w:r>
        <w:rPr/>
        <w:t xml:space="preserve"> Si l’un de ces trois pôles fait défaut, la régulation devient fragile, injustifiable ou autoritaire. Ainsi, ce que le paradigme archicratique rend possible, c’est une lecture transversale, critique, intersectorielle du politique contemporain — non plus à partir des formes visibles de pouvoir, mais à partir de ses pratiques effectives de régulation, de ses vecteurs techniques, et de ses seuils de dispute.</w:t>
      </w:r>
    </w:p>
    <w:p>
      <w:pPr>
        <w:pStyle w:val="Heading4"/>
        <w:numPr>
          <w:ilvl w:val="3"/>
          <w:numId w:val="2"/>
        </w:numPr>
        <w:rPr/>
      </w:pPr>
      <w:r>
        <w:rPr/>
        <w:t>Une opposabilité empirique : falsifiabilité, indicateurs et critères de lecture</w:t>
      </w:r>
    </w:p>
    <w:p>
      <w:pPr>
        <w:pStyle w:val="BodyText"/>
        <w:rPr/>
      </w:pPr>
      <w:r>
        <w:rPr/>
        <w:t>Mais la dimension décisive demeure l’opposabilité empirique : car un paradigme qui ne peut pas être contesté, ni mis en défaut, ni éprouvé à partir de cas concrets, est un dogme et non une théorie. À ce titre, le paradigme archicratique doit accepter d’être testé, confronté, réfuté, sur des objets situés. Et pour cela, il doit s’équiper d’une série de critères d’identification, de balises de vérification, de conditions de falsifiabilité qui permettent de dire, devant un cas concret : « ce dispositif est archicratique », ou bien « il ne l’est pas ».</w:t>
      </w:r>
    </w:p>
    <w:p>
      <w:pPr>
        <w:pStyle w:val="BodyText"/>
        <w:rPr/>
      </w:pPr>
      <w:r>
        <w:rPr/>
        <w:t>Ces critères sont au nombre de quatre, que nous avons déjà évoqués en filigrane, mais qu’il faut ici poser avec rigueur :</w:t>
      </w:r>
    </w:p>
    <w:p>
      <w:pPr>
        <w:pStyle w:val="BodyText"/>
        <w:numPr>
          <w:ilvl w:val="0"/>
          <w:numId w:val="3"/>
        </w:numPr>
        <w:rPr/>
      </w:pPr>
      <w:r>
        <w:rPr/>
        <w:t xml:space="preserve">La </w:t>
      </w:r>
      <w:r>
        <w:rPr>
          <w:i/>
          <w:iCs/>
        </w:rPr>
        <w:t>présence d’une scène effective de délibération</w:t>
      </w:r>
      <w:r>
        <w:rPr/>
        <w:t>, de contestation ou de décision visible : une instance réelle, et non mimée, où les décisions sont discutées, justifiées, révisées.</w:t>
      </w:r>
    </w:p>
    <w:p>
      <w:pPr>
        <w:pStyle w:val="BodyText"/>
        <w:numPr>
          <w:ilvl w:val="0"/>
          <w:numId w:val="3"/>
        </w:numPr>
        <w:rPr/>
      </w:pPr>
      <w:r>
        <w:rPr/>
        <w:t>L’</w:t>
      </w:r>
      <w:r>
        <w:rPr>
          <w:i/>
          <w:iCs/>
        </w:rPr>
        <w:t>existence de délais appropriés</w:t>
      </w:r>
      <w:r>
        <w:rPr/>
        <w:t xml:space="preserve"> entre production de la norme et son application : délais de réflexion, d’interpellation, de contradiction. L’absence ou la suppression de ces délais signe souvent l’entrée dans la précipitation archicratique.</w:t>
      </w:r>
    </w:p>
    <w:p>
      <w:pPr>
        <w:pStyle w:val="BodyText"/>
        <w:numPr>
          <w:ilvl w:val="0"/>
          <w:numId w:val="3"/>
        </w:numPr>
        <w:rPr/>
      </w:pPr>
      <w:r>
        <w:rPr/>
        <w:t xml:space="preserve">La </w:t>
      </w:r>
      <w:r>
        <w:rPr>
          <w:i/>
          <w:iCs/>
        </w:rPr>
        <w:t>motivation des décisions</w:t>
      </w:r>
      <w:r>
        <w:rPr/>
        <w:t xml:space="preserve"> : tout acte de régulation doit être accompagné d’un énoncé explicite des motifs qui le soutiennent. Là où les motifs sont remplacés par des chiffres, des tableaux de bord, ou des injonctions automatisées, la scène politique se dissout.</w:t>
      </w:r>
    </w:p>
    <w:p>
      <w:pPr>
        <w:pStyle w:val="BodyText"/>
        <w:numPr>
          <w:ilvl w:val="0"/>
          <w:numId w:val="3"/>
        </w:numPr>
        <w:rPr/>
      </w:pPr>
      <w:r>
        <w:rPr/>
        <w:t xml:space="preserve">La </w:t>
      </w:r>
      <w:r>
        <w:rPr>
          <w:i/>
          <w:iCs/>
        </w:rPr>
        <w:t>possibilité de recours effectif</w:t>
      </w:r>
      <w:r>
        <w:rPr/>
        <w:t xml:space="preserve"> : une norme est politique si elle peut être contestée dans un délai raisonnable, devant une instance compétente, selon une procédure intelligible et des modalités non excluantes. Le formalisme du recours ne suffit pas ; c’est sa praticabilité qui importe.</w:t>
      </w:r>
    </w:p>
    <w:p>
      <w:pPr>
        <w:pStyle w:val="BodyText"/>
        <w:rPr/>
      </w:pPr>
      <w:r>
        <w:rPr/>
        <w:t>Ces quatre indicateurs peuvent être mesurés, documentés et comparés. Ils permettent d’objectiver le diagnostic archicratique, d’en délivrer une cartographie différenciée, et d’en circonscrire les seuils. Ils rendent la critique opératoire et la théorie falsifiable. Car il est tout à fait possible qu’un dispositif tienne avec une scène neutralisée ou relocalisée hors d’atteinte, avec des délais fictifs ou comprimés, avec des recours formellement ouverts mais pratiquement impraticables, avec des fondements difficiles à exposer ou à opposer. Dans ce cas, notre paradigme n’a pas à s’avouer inopérant : il doit précisément décrire, qualifier et mesurer cette neutralisation, cette compression, cette inopérance ou cette opacification. C’est précisément cette possibilité qui fonde sa valeur scientifique.</w:t>
      </w:r>
    </w:p>
    <w:p>
      <w:pPr>
        <w:pStyle w:val="BodyText"/>
        <w:rPr/>
      </w:pPr>
      <w:r>
        <w:rPr/>
        <w:t>Par ailleurs, ce paradigme pourra être confronté à des contre-exemples méthodiques — ce qui devra être éprouvé dans les usages empiriques ultérieurs du paradigme — afin de tester la puissance de sa réfutabilité. Il ne s’agit pas de tout faire entrer dans le moule archicratique, mais de tester la pertinence du moule face à des réalités rétives, résistantes, voire incompatibles. C’est cela, l’esprit de la critique : ne pas chercher la confirmation, mais la disjonction révélatrice.</w:t>
      </w:r>
    </w:p>
    <w:p>
      <w:pPr>
        <w:pStyle w:val="BodyText"/>
        <w:rPr/>
      </w:pPr>
      <w:r>
        <w:rPr/>
        <w:t>On peut le dire plus simplement : le paradigme n’est valide qu’à la condition de rencontrer des situations où il échoue à produire un gain de lisibilité, ou dans lesquelles d’autres grilles demeurent plus adéquates. Ce n’est qu’à cette condition que sa fécondité critique échappe au devenir tautologique.</w:t>
      </w:r>
    </w:p>
    <w:p>
      <w:pPr>
        <w:pStyle w:val="BodyText"/>
        <w:rPr/>
      </w:pPr>
      <w:r>
        <w:rPr/>
        <w:t>En définitive, le paradigme archicratique ne vaut que par sa capacité à élucider ce qui opère à travers des justifications faiblement exposables, à déplier ce qui agit à travers des scènes comprimées, mimées ou relocalisées, à donner langue à ce qui neutralise le contradictoire sans jamais l’abolir totalement. Il ne se présente pas comme une nouvelle théorie normative, ni comme un surplomb idéologique, mais comme un opérateur de détection des régulations silencieuses — celles où la scène se vide, où les délais deviennent fictifs, où les motifs deviennent inopposables, où les recours cessent d’être pratiquement saisissables, et qui, de ce fait, court-circuitent la possibilité même du politique.</w:t>
      </w:r>
    </w:p>
    <w:p>
      <w:pPr>
        <w:pStyle w:val="BodyText"/>
        <w:rPr/>
      </w:pPr>
      <w:r>
        <w:rPr/>
        <w:t>En ce sens, il est un paradigme à la fois critique et méthodique : critique, car il met à nu les neutralisations, les évasions, les courts-circuits ; méthodique, puisqu’il les mesure, les nomme, les cartographie, et les expose à l’épreuve. Ce n’est qu’à cette double condition — fécondité analytique et opposabilité empirique — que le paradigme archicratique pourra prétendre à une légitimité scientifique, académique et politique.</w:t>
      </w:r>
    </w:p>
    <w:p>
      <w:pPr>
        <w:pStyle w:val="BodyText"/>
        <w:rPr/>
      </w:pPr>
      <w:r>
        <w:rPr/>
        <w:t>Encore faut-il préciser le régime exact de cette non-neutralité. Dire que le paradigme archicratique n’est pas une théorie normative au sens classique ne signifie nullement qu’il serait axiologiquement vide. Il n’est pas neutre ; il est conditionnellement normatif. Sa normativité ne porte pas sur le contenu substantiel des fins collectives — ce qu’il faudrait vouloir, croire, préférer ou instituer absolument — mais sur les conditions minimales sous lesquelles une régulation peut être politiquement tenue, c’est-à-dire rendue explicable, opposable et révisable.</w:t>
      </w:r>
    </w:p>
    <w:p>
      <w:pPr>
        <w:pStyle w:val="BodyText"/>
        <w:rPr/>
      </w:pPr>
      <w:r>
        <w:rPr/>
        <w:t>En ce sens, l’archicratie ne dit pas ce qui est juste en dernière instance ; elle indique ce sans quoi la question même de la justice devient politiquement inerte. Elle ne prescrit pas un bien commun déterminé ; elle rend pensable l’exigence selon laquelle les décisions qui affectent des existences, des milieux et des collectifs ne devraient pas s’accomplir entièrement hors des scènes où leurs raisons, leurs instruments et leurs effets peuvent être reconduits à l’épreuve. Sa normativité est donc seconde quant aux fins, mais première quant aux conditions de leur disputabilité.</w:t>
      </w:r>
    </w:p>
    <w:p>
      <w:pPr>
        <w:pStyle w:val="BodyText"/>
        <w:rPr/>
      </w:pPr>
      <w:r>
        <w:rPr/>
        <w:t>C’est pourquoi le paradigme archicratique doit être compris comme critique plutôt que programmatique, et comme structuralement normatif plutôt que moralement prescriptif. Il ne fournit pas un modèle achevé de bon gouvernement ; il fournit un critère de discernement entre des régulations qui laissent ouverte la possibilité de leur reprise, et des régulations qui tendent à se refermer sur leur propre effectuation. Son exigence est minimale, mais décisive : que le pouvoir ne soit pas dispensé de comparaître.</w:t>
      </w:r>
    </w:p>
    <w:p>
      <w:pPr>
        <w:pStyle w:val="BodyText"/>
        <w:rPr/>
      </w:pPr>
      <w:r>
        <w:rPr/>
        <w:t>On pourrait dire, pour le formuler au plus serré, que l’archicratie ne vaut pas comme idéal positif du politique, mais comme seuil négatif de son inhabitabilité. Là où ce seuil est franchi, les décisions peuvent encore être efficaces, cohérentes, sophistiquées même ; elles cessent toutefois de se tenir dans des formes où elles pourraient être politiquement adressées. C’est sous ce régime précis — analytique, critique, conditionnel — que le paradigme peut maintenant être soumis à la discipline plus stricte de ses axiomes.</w:t>
      </w:r>
    </w:p>
    <w:p>
      <w:pPr>
        <w:pStyle w:val="Heading2"/>
        <w:numPr>
          <w:ilvl w:val="1"/>
          <w:numId w:val="2"/>
        </w:numPr>
        <w:rPr/>
      </w:pPr>
      <w:r>
        <w:rPr>
          <w:b/>
          <w:bCs/>
        </w:rPr>
        <w:t>1.3 —</w:t>
      </w:r>
      <w:r>
        <w:rPr/>
        <w:t xml:space="preserve"> Les axiomes régulateurs du paradigme archicratique</w:t>
      </w:r>
    </w:p>
    <w:p>
      <w:pPr>
        <w:pStyle w:val="BodyText"/>
        <w:rPr/>
      </w:pPr>
      <w:r>
        <w:rPr/>
        <w:t>Les axiomes qui suivent n’ont pas pour fonction d’ajouter une solennité théorique. Ils fixent la discipline minimale du paradigme : ce qui en garantit la cohérence, ce qui en rend l’usage transmissible, et ce qui l’expose à la critique sans le dissoudre dans l’indétermination. Leur fonction n’est donc ni décorative ni simplement académique ; elle consiste à donner au cadre archicratique la rigueur requise pour qu’il puisse être mobilisé, discuté et, le cas échéant, mis en défaut.</w:t>
      </w:r>
    </w:p>
    <w:p>
      <w:pPr>
        <w:pStyle w:val="Heading3"/>
        <w:numPr>
          <w:ilvl w:val="2"/>
          <w:numId w:val="2"/>
        </w:numPr>
        <w:rPr/>
      </w:pPr>
      <w:r>
        <w:rPr/>
        <w:t>1.3.1 — Axiome de coprésence</w:t>
      </w:r>
    </w:p>
    <w:p>
      <w:pPr>
        <w:pStyle w:val="BodyText"/>
        <w:rPr/>
      </w:pPr>
      <w:r>
        <w:rPr/>
        <w:t xml:space="preserve">Tout dispositif régulateur comporte, en droit ou en fait, une </w:t>
      </w:r>
      <w:r>
        <w:rPr>
          <w:i/>
          <w:iCs/>
        </w:rPr>
        <w:t>arcalité</w:t>
      </w:r>
      <w:r>
        <w:rPr/>
        <w:t xml:space="preserve">, une </w:t>
      </w:r>
      <w:r>
        <w:rPr>
          <w:i/>
          <w:iCs/>
        </w:rPr>
        <w:t>cratialité</w:t>
      </w:r>
      <w:r>
        <w:rPr/>
        <w:t xml:space="preserve"> et une </w:t>
      </w:r>
      <w:r>
        <w:rPr>
          <w:i/>
          <w:iCs/>
        </w:rPr>
        <w:t>archicration.</w:t>
      </w:r>
    </w:p>
    <w:p>
      <w:pPr>
        <w:pStyle w:val="BodyText"/>
        <w:rPr/>
      </w:pPr>
      <w:r>
        <w:rPr/>
        <w:t>Ce premier axiome constitue le socle ontologique minimal du paradigme archicratique. Il ne s’agit pas ici d’un postulat normatif — c’est-à-dire de ce qui doit être — mais d’un principe descriptif fort, fondé sur une hypothèse phénoménologique généralisée : toute régulation effective, dès lors qu’elle opère comme régulation (et non comme simple agrégat de faits), comporte nécessairement une triple articulation entre ce qui fonde, ce qui opère, et ce qui peut être adapté. Ces trois dimensions, désignées respectivement par les termes d’</w:t>
      </w:r>
      <w:r>
        <w:rPr>
          <w:i/>
          <w:iCs/>
        </w:rPr>
        <w:t>arcalité</w:t>
      </w:r>
      <w:r>
        <w:rPr/>
        <w:t xml:space="preserve">, de </w:t>
      </w:r>
      <w:r>
        <w:rPr>
          <w:i/>
          <w:iCs/>
        </w:rPr>
        <w:t>cratialité</w:t>
      </w:r>
      <w:r>
        <w:rPr/>
        <w:t xml:space="preserve"> et d’</w:t>
      </w:r>
      <w:r>
        <w:rPr>
          <w:i/>
          <w:iCs/>
        </w:rPr>
        <w:t>archicration</w:t>
      </w:r>
      <w:r>
        <w:rPr/>
        <w:t>, ne sont pas des propriétés accidentelles ou surajoutées ; elles sont les conditions minimales de l’existence d’un dispositif régulateur en tant que tel.</w:t>
      </w:r>
    </w:p>
    <w:p>
      <w:pPr>
        <w:pStyle w:val="BodyText"/>
        <w:rPr/>
      </w:pPr>
      <w:r>
        <w:rPr/>
        <w:t xml:space="preserve">Poser cet axiome, c’est affirmer que ces trois dimensions — même lorsqu’elles sont invisibles, réduites, capturées ou en dormance — sont toujours présentes, repérables, détectables, au moins de façon latente ou implicite. Autrement dit, on ne peut pas penser une régulation sans ce tripode, même si celui-ci est déséquilibré, distordu ou saboté. Un dispositif qui n’aurait ni </w:t>
      </w:r>
      <w:r>
        <w:rPr>
          <w:i/>
          <w:iCs/>
        </w:rPr>
        <w:t>arcalité</w:t>
      </w:r>
      <w:r>
        <w:rPr/>
        <w:t xml:space="preserve"> (aucun principe fondateur ou récit de justification), ni </w:t>
      </w:r>
      <w:r>
        <w:rPr>
          <w:i/>
          <w:iCs/>
        </w:rPr>
        <w:t>cratialité</w:t>
      </w:r>
      <w:r>
        <w:rPr/>
        <w:t xml:space="preserve"> (aucune opération effective, aucun vecteur d’action), ni </w:t>
      </w:r>
      <w:r>
        <w:rPr>
          <w:i/>
          <w:iCs/>
        </w:rPr>
        <w:t>archicration</w:t>
      </w:r>
      <w:r>
        <w:rPr/>
        <w:t xml:space="preserve"> (aucun lieu ou possibilité de contestation ou de révision), ne serait pas un dispositif régulateur : ce serait un chaos, une contingence brute, un pur hasard ou un agrégat sans structure.</w:t>
      </w:r>
    </w:p>
    <w:p>
      <w:pPr>
        <w:pStyle w:val="BodyText"/>
        <w:rPr/>
      </w:pPr>
      <w:r>
        <w:rPr/>
        <w:t>Ce que cet axiome implique immédiatement, c’est un changement de regard épistémique. Il ne suffit pas de repérer les structures visibles du pouvoir (institutions, lois, autorités) : il faut traquer les trois prises constitutives dans tout agencement régulateur — y compris ceux qui prétendent ne pas être politiques, comme par exemple, les régulations algorithmiques, les logiques d’attribution budgétaire, les procédures hospitalières, les normes de conformité technique. Même là, il y a fondement, opération et possibilité de contestation — fût-ce sous la forme de leur invisibilisation stratégique. De sorte que ce n’est pas parce que l’</w:t>
      </w:r>
      <w:r>
        <w:rPr>
          <w:i/>
          <w:iCs/>
        </w:rPr>
        <w:t>arcalité</w:t>
      </w:r>
      <w:r>
        <w:rPr/>
        <w:t xml:space="preserve"> est devenue silencieuse (par exemple : une légitimation implicite par la science ou par la nécessité technique), ni parce que l’</w:t>
      </w:r>
      <w:r>
        <w:rPr>
          <w:i/>
          <w:iCs/>
        </w:rPr>
        <w:t>archicration</w:t>
      </w:r>
      <w:r>
        <w:rPr/>
        <w:t xml:space="preserve"> est neutralisée, verrouillée, relocalisée hors d’atteinte ou rendue pratiquement inopérante (absence de scène de recours), que ces dimensions sont absentes : elles sont alors refoulées, verrouillées, court-circuitées — mais leur absence relative est elle-même un indice paradigmatique.</w:t>
      </w:r>
    </w:p>
    <w:p>
      <w:pPr>
        <w:pStyle w:val="BodyText"/>
        <w:rPr/>
      </w:pPr>
      <w:r>
        <w:rPr/>
        <w:t>Toute régulation effective comporte, en acte ou en puissance, une arcalité, une cratialité et une archicration ; les pathologies contemporaines n’abolissent pas cette tripolarité, mais en opacifient les fondements, en autonomisent les opérations et en neutralisent, miment ou relocalisent la scène d’épreuve, parfois jusqu’à la dérive autarchicratique.</w:t>
      </w:r>
    </w:p>
    <w:p>
      <w:pPr>
        <w:pStyle w:val="BodyText"/>
        <w:rPr/>
      </w:pPr>
      <w:r>
        <w:rPr/>
        <w:t>L’</w:t>
      </w:r>
      <w:r>
        <w:rPr>
          <w:i/>
          <w:iCs/>
        </w:rPr>
        <w:t>axiome de coprésence</w:t>
      </w:r>
      <w:r>
        <w:rPr/>
        <w:t xml:space="preserve"> a donc une valeur heuristique fondamentale. Il permet de penser les situations où une régulation semble purement technique ou exclusivement administrative (</w:t>
      </w:r>
      <w:r>
        <w:rPr>
          <w:i/>
          <w:iCs/>
        </w:rPr>
        <w:t>cratialité</w:t>
      </w:r>
      <w:r>
        <w:rPr/>
        <w:t>) comme étant toujours aussi fondée dans un imaginaire (</w:t>
      </w:r>
      <w:r>
        <w:rPr>
          <w:i/>
          <w:iCs/>
        </w:rPr>
        <w:t>arcalité</w:t>
      </w:r>
      <w:r>
        <w:rPr/>
        <w:t>) et exposée ou soustraite à une épreuve (</w:t>
      </w:r>
      <w:r>
        <w:rPr>
          <w:i/>
          <w:iCs/>
        </w:rPr>
        <w:t>archicration</w:t>
      </w:r>
      <w:r>
        <w:rPr/>
        <w:t>). Il impose ainsi une lecture structurale de tout dispositif, qu’il soit juridique, logistique, algorithmique, sanitaire, éducatif, écologique ou financier. C’est une invitation à lire dans la matière du monde les tripodes de la régulation.</w:t>
      </w:r>
    </w:p>
    <w:p>
      <w:pPr>
        <w:pStyle w:val="BodyText"/>
        <w:rPr/>
      </w:pPr>
      <w:r>
        <w:rPr/>
        <w:t xml:space="preserve">Cette coprésence ne suppose pas l’équilibre. Au contraire, l’un des apports fondamentaux du paradigme archicratique est de montrer que les régulations contemporaines sont profondément dissymétriques : certaines n’ont qu’une </w:t>
      </w:r>
      <w:r>
        <w:rPr>
          <w:i/>
          <w:iCs/>
        </w:rPr>
        <w:t>cratialité saturante</w:t>
      </w:r>
      <w:r>
        <w:rPr/>
        <w:t xml:space="preserve"> (ex. : dispositif technocratique opaque), d’autres une </w:t>
      </w:r>
      <w:r>
        <w:rPr>
          <w:i/>
          <w:iCs/>
        </w:rPr>
        <w:t>archicration hypertrophiée</w:t>
      </w:r>
      <w:r>
        <w:rPr/>
        <w:t xml:space="preserve"> mais inefficace (ex. : scène participative proliférante sans effet décisionnel), d’autres encore une </w:t>
      </w:r>
      <w:r>
        <w:rPr>
          <w:i/>
          <w:iCs/>
        </w:rPr>
        <w:t>arcalité rituelle</w:t>
      </w:r>
      <w:r>
        <w:rPr/>
        <w:t xml:space="preserve"> déconnectée de toute opération (ex. : invocation constitutionnelle sans effectuation concrète). Mais dans tous les cas, la coprésence des trois pôles demeure structurellement repérable, ne serait-ce que par leur retrait ou leur échec. En cela, la coprésence est une grille de lecture minimale, un seuil de détection politique.</w:t>
      </w:r>
    </w:p>
    <w:p>
      <w:pPr>
        <w:pStyle w:val="BodyText"/>
        <w:rPr/>
      </w:pPr>
      <w:r>
        <w:rPr/>
        <w:t xml:space="preserve">Il faut ici résister à une objection naïve : ne serait-il pas possible d’imaginer des régulations purement naturelles, spontanées, auto-organisées, échappant à ce triptyque ? L’anthropologie politique, les études organisationnelles, la philosophie des institutions, la sociologie pragmatique et les épistémologies de la régulation nous ont depuis longtemps enseigné que même les formes les plus rudimentaires de régulation sociale ou technique comportent des formes minimales de ce que nous nommons </w:t>
      </w:r>
      <w:r>
        <w:rPr>
          <w:i/>
          <w:iCs/>
        </w:rPr>
        <w:t>arcalité</w:t>
      </w:r>
      <w:r>
        <w:rPr/>
        <w:t xml:space="preserve">, </w:t>
      </w:r>
      <w:r>
        <w:rPr>
          <w:i/>
          <w:iCs/>
        </w:rPr>
        <w:t>cratialité</w:t>
      </w:r>
      <w:r>
        <w:rPr/>
        <w:t xml:space="preserve"> et </w:t>
      </w:r>
      <w:r>
        <w:rPr>
          <w:i/>
          <w:iCs/>
        </w:rPr>
        <w:t>archicration</w:t>
      </w:r>
      <w:r>
        <w:rPr/>
        <w:t>. Un protocole technique repose toujours sur un cadre d’invocation (standard, norme, autorité), sur une chaîne d’opération (matériel, procédure), et sur une possibilité de révision (mise à jour, signalement d’erreur, audit). Même les systèmes biologiques complexes — comme les systèmes immunitaires — peuvent être lus à travers cette tripartition : reconnaissance du soi (</w:t>
      </w:r>
      <w:r>
        <w:rPr>
          <w:i/>
          <w:iCs/>
        </w:rPr>
        <w:t>arcalité</w:t>
      </w:r>
      <w:r>
        <w:rPr/>
        <w:t>), activation immunitaire (</w:t>
      </w:r>
      <w:r>
        <w:rPr>
          <w:i/>
          <w:iCs/>
        </w:rPr>
        <w:t>cratialité</w:t>
      </w:r>
      <w:r>
        <w:rPr/>
        <w:t>), et tolérance ou rétro-contrôle (</w:t>
      </w:r>
      <w:r>
        <w:rPr>
          <w:i/>
          <w:iCs/>
        </w:rPr>
        <w:t>archicration</w:t>
      </w:r>
      <w:r>
        <w:rPr/>
        <w:t>). Ce que le paradigme archicratique affirme, c’est que toute structure de régulation effective comporte ces trois dimensions — sinon, elle ne régule pas, elle dysfonctionne ou implose.</w:t>
      </w:r>
    </w:p>
    <w:p>
      <w:pPr>
        <w:pStyle w:val="BodyText"/>
        <w:rPr/>
      </w:pPr>
      <w:r>
        <w:rPr/>
        <w:t xml:space="preserve">Il en résulte une première exigence méthodologique pour toute enquête archicratique : partir à la recherche des trois pôles dans tout dispositif étudié. </w:t>
      </w:r>
      <w:r>
        <w:rPr>
          <w:i/>
          <w:iCs/>
        </w:rPr>
        <w:t>Où est le fondement, explicite ou implicite ? Où sont les vecteurs d’opération, visibles ou occultés ? Où sont les voies d’épreuve, effectives ou empêchées ?</w:t>
      </w:r>
      <w:r>
        <w:rPr/>
        <w:t xml:space="preserve"> Ce travail de repérage ne peut pas se contenter des apparences. Il suppose une analyse croisée des textes, des objets, des fonctions, des temporalités, des seuils. L’absence visible d’un pôle ne signifie pas son inexistence, mais peut signaler un déplacement, une substitution, une capture ou une mise en scène factice.</w:t>
      </w:r>
    </w:p>
    <w:p>
      <w:pPr>
        <w:pStyle w:val="BodyText"/>
        <w:rPr/>
      </w:pPr>
      <w:r>
        <w:rPr/>
        <w:t>Ainsi, cet axiome de coprésence ne se contente pas de définir un cadre théorique abstrait. Il impose un regard méthodique sur la régulation comme structure tripolaire inévitable. Il invite à lire tout dispositif à partir des tensions qu’il organise — ou qu’il neutralise — entre ses trois dimensions. Il est la condition formelle d’existence du paradigme archicratique : sans cette coprésence, le concept même d’archicratie ne serait qu’un mot, une abstraction sans prise sur le réel.</w:t>
      </w:r>
    </w:p>
    <w:p>
      <w:pPr>
        <w:pStyle w:val="BodyText"/>
        <w:rPr/>
      </w:pPr>
      <w:r>
        <w:rPr/>
        <w:t>Cette coprésence ne saurait toutefois être invoquée comme un principe d’applicabilité illimitée. Elle n’autorise ni à projeter artificiellement la triade sur toute configuration empirique, ni à conclure qu’un cas devient intelligible du seul fait qu’on y postule un fondement, une opération et une épreuve. Le paradigme ne vaut qu’à la condition de produire un gain effectif de lisibilité.</w:t>
      </w:r>
    </w:p>
    <w:p>
      <w:pPr>
        <w:pStyle w:val="BodyText"/>
        <w:rPr/>
      </w:pPr>
      <w:r>
        <w:rPr/>
        <w:t>Il faut donc expliciter les situations dans lesquelles son usage doit être suspendu. Premièrement, lorsque la distinction entre arcalité, cratialité et archicration ne peut être établie qu’au prix d’une reconstruction forcée, sans prise empirique suffisante. Deuxièmement, lorsque le phénomène observé relève d’une contingence dispersée, d’une inertie sans structure régulatrice stabilisée, ou d’un enchaînement trop faiblement institué pour justifier l’usage de la triade. Troisièmement, lorsque d’autres grilles descriptives rendent compte du cas avec davantage de précision, sans que l’approche archicratique n’apporte de différentiel heuristique décisif.</w:t>
      </w:r>
    </w:p>
    <w:p>
      <w:pPr>
        <w:pStyle w:val="BodyText"/>
        <w:rPr/>
      </w:pPr>
      <w:r>
        <w:rPr/>
        <w:t>Dans de telles configurations, la retenue n’est pas un affaiblissement du paradigme, mais l’une de ses conditions de validité. Une théorie critique de la régulation ne vaut pas par sa capacité à tout reconduire à son langage, mais par sa capacité à se retirer là où elle n’ajoute plus de lisibilité au réel.</w:t>
      </w:r>
    </w:p>
    <w:p>
      <w:pPr>
        <w:pStyle w:val="BodyText"/>
        <w:rPr/>
      </w:pPr>
      <w:r>
        <w:rPr/>
        <w:t>En ce sens, l’axiome de coprésence ne doit pas être compris comme la thèse selon laquelle toute réalité sociale serait immédiatement lisible à partir de la triade, mais comme l’hypothèse minimale selon laquelle aucune régulation stabilisée ne se soutient sans formes, explicites ou latentes, de fondation, d’opération et de reprise. L’universalité ici engagée n’est donc ni celle d’un contenu, ni celle d’un schéma explicatif total ; elle désigne seulement une condition structurale de détectabilité des régulations.</w:t>
      </w:r>
    </w:p>
    <w:p>
      <w:pPr>
        <w:pStyle w:val="BodyText"/>
        <w:rPr/>
      </w:pPr>
      <w:r>
        <w:rPr/>
        <w:t>Là où cette condition demeure indécidable, empiriquement inaccessible ou heuristiquement stérile, la suspension du paradigme s’impose. Il ne s’agit pas d’expliquer toute chose, mais de savoir à quelles conditions une régulation devient suffisamment articulée pour être lue comme telle.</w:t>
      </w:r>
    </w:p>
    <w:p>
      <w:pPr>
        <w:pStyle w:val="BodyText"/>
        <w:rPr/>
      </w:pPr>
      <w:r>
        <w:rPr/>
        <w:t>Nous verrons, dans les axiomes suivants, que cette coprésence exige également des critères de différenciation, de détectabilité, de disjonction fonctionnelle, d’épreuve critique et d’opérabilité transversale.</w:t>
      </w:r>
    </w:p>
    <w:p>
      <w:pPr>
        <w:pStyle w:val="Heading3"/>
        <w:numPr>
          <w:ilvl w:val="2"/>
          <w:numId w:val="2"/>
        </w:numPr>
        <w:rPr/>
      </w:pPr>
      <w:r>
        <w:rPr/>
        <w:t>1.3.2 — Axiome de différenciation</w:t>
      </w:r>
    </w:p>
    <w:p>
      <w:pPr>
        <w:pStyle w:val="BodyText"/>
        <w:rPr/>
      </w:pPr>
      <w:r>
        <w:rPr/>
        <w:t xml:space="preserve">Les trois pôles — </w:t>
      </w:r>
      <w:r>
        <w:rPr>
          <w:i/>
          <w:iCs/>
        </w:rPr>
        <w:t>arcalité</w:t>
      </w:r>
      <w:r>
        <w:rPr/>
        <w:t xml:space="preserve">, </w:t>
      </w:r>
      <w:r>
        <w:rPr>
          <w:i/>
          <w:iCs/>
        </w:rPr>
        <w:t>cratialité</w:t>
      </w:r>
      <w:r>
        <w:rPr/>
        <w:t xml:space="preserve">, </w:t>
      </w:r>
      <w:r>
        <w:rPr>
          <w:i/>
          <w:iCs/>
        </w:rPr>
        <w:t>archicration</w:t>
      </w:r>
      <w:r>
        <w:rPr/>
        <w:t xml:space="preserve"> — sont irréductibles entre eux, et non substituables.</w:t>
      </w:r>
    </w:p>
    <w:p>
      <w:pPr>
        <w:pStyle w:val="BodyText"/>
        <w:rPr/>
      </w:pPr>
      <w:r>
        <w:rPr/>
        <w:t>Après avoir affirmé la co-constitution minimale de toute régulation par la présence simultanée de ces trois dimensions (</w:t>
      </w:r>
      <w:r>
        <w:rPr>
          <w:i/>
          <w:iCs/>
        </w:rPr>
        <w:t>axiome de coprésence</w:t>
      </w:r>
      <w:r>
        <w:rPr/>
        <w:t xml:space="preserve">), il nous faut désormais en verrouiller la distinction ontologique. Car si toute régulation digne de ce nom articule en effet une </w:t>
      </w:r>
      <w:r>
        <w:rPr>
          <w:i/>
          <w:iCs/>
        </w:rPr>
        <w:t>arcalité</w:t>
      </w:r>
      <w:r>
        <w:rPr/>
        <w:t xml:space="preserve"> (fondement), une </w:t>
      </w:r>
      <w:r>
        <w:rPr>
          <w:i/>
          <w:iCs/>
        </w:rPr>
        <w:t>cratialité</w:t>
      </w:r>
      <w:r>
        <w:rPr/>
        <w:t xml:space="preserve"> (opération) et une </w:t>
      </w:r>
      <w:r>
        <w:rPr>
          <w:i/>
          <w:iCs/>
        </w:rPr>
        <w:t>archicration</w:t>
      </w:r>
      <w:r>
        <w:rPr/>
        <w:t xml:space="preserve"> (épreuve), encore faut-il éviter la confusion de ces pôles — confusion qui, à l’échelle politique, épistémologique ou institutionnelle, constitue l’une des pathologies majeures des régimes archicratiques. L’</w:t>
      </w:r>
      <w:r>
        <w:rPr>
          <w:i/>
          <w:iCs/>
        </w:rPr>
        <w:t>axiome de différenciation</w:t>
      </w:r>
      <w:r>
        <w:rPr/>
        <w:t xml:space="preserve"> soutient donc une proposition forte : ces trois pôles ne sont pas des degrés d’un même phénomène, ni des variations d’une même fonction, mais des registres irréductibles, non commensurables, non interchangeables.</w:t>
      </w:r>
    </w:p>
    <w:p>
      <w:pPr>
        <w:pStyle w:val="BodyText"/>
        <w:rPr/>
      </w:pPr>
      <w:r>
        <w:rPr/>
        <w:t>Autrement dit, nul ne peut fonder en opérant, nul ne peut opérer en contestant, nul ne peut contester en fondant. Toute tentative de substitution d’un pôle par un autre — comme si l’un d’eux pouvait se passer des deux autres ou les contenir — produit une dérive, un déséquilibre ou une distorsion de la régulation. Et, dans les régimes contemporains, ces distorsions sont fréquentes : elles constituent précisément les mécanismes d’euphémisation, de naturalisation ou d’occultation du pouvoir que le paradigme archicratique se donne pour tâche de rendre visibles.</w:t>
      </w:r>
    </w:p>
    <w:p>
      <w:pPr>
        <w:pStyle w:val="BodyText"/>
        <w:rPr/>
      </w:pPr>
      <w:r>
        <w:rPr/>
        <w:t>Prenons quelques exemples typiques :</w:t>
      </w:r>
    </w:p>
    <w:p>
      <w:pPr>
        <w:pStyle w:val="BodyText"/>
        <w:rPr/>
      </w:pPr>
      <w:r>
        <w:rPr/>
        <w:t xml:space="preserve">Lorsqu’une régulation prétend se légitimer par sa seule efficacité opérationnelle — « ça marche, donc c’est légitime » — elle fait de la </w:t>
      </w:r>
      <w:r>
        <w:rPr>
          <w:i/>
          <w:iCs/>
        </w:rPr>
        <w:t>cratialité</w:t>
      </w:r>
      <w:r>
        <w:rPr/>
        <w:t xml:space="preserve"> une </w:t>
      </w:r>
      <w:r>
        <w:rPr>
          <w:i/>
          <w:iCs/>
        </w:rPr>
        <w:t>arcalité</w:t>
      </w:r>
      <w:r>
        <w:rPr/>
        <w:t xml:space="preserve"> : c’est un cas classique de technocratie performative, où la force d’exécution est posée comme source de droit. Or cette confusion efface le débat sur les finalités, les valeurs, les principes — et rend la régulation imperméable à toute critique normative. C’est ce que l’on observe par exemple dans certains usages de la gestion algorithmique publique : l’efficacité devient la légitimation.</w:t>
      </w:r>
    </w:p>
    <w:p>
      <w:pPr>
        <w:pStyle w:val="BodyText"/>
        <w:rPr/>
      </w:pPr>
      <w:r>
        <w:rPr/>
        <w:t xml:space="preserve">À l’inverse, certaines configurations fondent leur légitimité sur une </w:t>
      </w:r>
      <w:r>
        <w:rPr>
          <w:i/>
          <w:iCs/>
        </w:rPr>
        <w:t>arcalité</w:t>
      </w:r>
      <w:r>
        <w:rPr/>
        <w:t xml:space="preserve"> hyperbolique (sacrée, symbolique, doctrinale), mais sans </w:t>
      </w:r>
      <w:r>
        <w:rPr>
          <w:i/>
          <w:iCs/>
        </w:rPr>
        <w:t>cratialité</w:t>
      </w:r>
      <w:r>
        <w:rPr/>
        <w:t xml:space="preserve"> concrète. Le droit proclamé reste lettre morte, la Constitution devient mythe sans prise, le serment se vide dans l’inaction. C’est la pathologie de l’impuissance fondée, ou du fétichisme institutionnel : tout est dit, mais rien n’est fait.</w:t>
      </w:r>
    </w:p>
    <w:p>
      <w:pPr>
        <w:pStyle w:val="BodyText"/>
        <w:rPr/>
      </w:pPr>
      <w:r>
        <w:rPr/>
        <w:t>D’autres régulations tentent encore de faire de l’archicration un simple fondement, en posant l’existence d’une scène délibérative ou d’un dispositif de consultation comme source suffisante de légitimité. C’est la pathologie de la « consultation alibi », où l’ouverture au débat remplace la justification. La scène est là, mais elle n’a pas de prise réelle sur l’opération ; elle fonctionne comme simulacre de légitimation.</w:t>
      </w:r>
    </w:p>
    <w:p>
      <w:pPr>
        <w:pStyle w:val="BodyText"/>
        <w:rPr/>
      </w:pPr>
      <w:r>
        <w:rPr/>
        <w:t>C’est donc en refusant toute fusion, toute réversibilité, toute réduction entre ces pôles que le paradigme archicratique se donne une force critique : il permet de nommer, dans chaque situation, le pôle absent, court-circuité, sursaturé ou mimé. Il rend possible un diagnostic différentiel : ce qui manque, ce qui déborde, ce qui est confondu.</w:t>
      </w:r>
    </w:p>
    <w:p>
      <w:pPr>
        <w:pStyle w:val="BodyText"/>
        <w:rPr/>
      </w:pPr>
      <w:r>
        <w:rPr/>
        <w:t>Cette différenciation n’est pas une invention purement formelle. Elle s’enracine dans l’histoire longue des formes politiques. Dès Aristote, la distinction entre la légitimité (</w:t>
      </w:r>
      <w:r>
        <w:rPr>
          <w:i/>
          <w:iCs/>
        </w:rPr>
        <w:t>díkaios</w:t>
      </w:r>
      <w:r>
        <w:rPr/>
        <w:t>), l’opération (</w:t>
      </w:r>
      <w:r>
        <w:rPr>
          <w:i/>
          <w:iCs/>
        </w:rPr>
        <w:t>dunatós</w:t>
      </w:r>
      <w:r>
        <w:rPr/>
        <w:t>), et la délibération (</w:t>
      </w:r>
      <w:r>
        <w:rPr>
          <w:i/>
          <w:iCs/>
        </w:rPr>
        <w:t>bouleutikón</w:t>
      </w:r>
      <w:r>
        <w:rPr/>
        <w:t>) signalait que la vie politique est tissée de fonctions distinctes. Montesquieu, en distinguant les trois pouvoirs (législatif, exécutif, judiciaire), esquissait déjà — dans une forme certes différente — une tripartition qui répondait à ce même souci de non-substitution. Plus récemment, des auteurs comme Pierre Rosanvallon ont insisté sur la nécessité de distinguer les formes de légitimation, d’exécution et de mise à l’épreuve du pouvoir comme autant de modalités non superposables.</w:t>
      </w:r>
    </w:p>
    <w:p>
      <w:pPr>
        <w:pStyle w:val="BodyText"/>
        <w:rPr/>
      </w:pPr>
      <w:r>
        <w:rPr/>
        <w:t xml:space="preserve">Mais là où le paradigme archicratique va plus loin, c’est qu’il ne fonde pas cette différenciation sur les institutions, mais sur les régimes de prises : fondement, opération, dispute. Ce n’est pas le nom de l’institution ou sa place dans un organigramme qui compte, mais la nature fonctionnelle de sa prise dans le dispositif. Une même entité peut, selon les cas, incarner une </w:t>
      </w:r>
      <w:r>
        <w:rPr>
          <w:i/>
          <w:iCs/>
        </w:rPr>
        <w:t>arcalité</w:t>
      </w:r>
      <w:r>
        <w:rPr/>
        <w:t xml:space="preserve"> (en tant que fondement invoqué), une </w:t>
      </w:r>
      <w:r>
        <w:rPr>
          <w:i/>
          <w:iCs/>
        </w:rPr>
        <w:t>cratialité</w:t>
      </w:r>
      <w:r>
        <w:rPr/>
        <w:t xml:space="preserve"> (en tant qu’opérateur), ou une </w:t>
      </w:r>
      <w:r>
        <w:rPr>
          <w:i/>
          <w:iCs/>
        </w:rPr>
        <w:t>archicration</w:t>
      </w:r>
      <w:r>
        <w:rPr/>
        <w:t xml:space="preserve"> (en tant que scène d’épreuve). L’exemple typique en est la cour constitutionnelle : dans certains cas, elle agit comme </w:t>
      </w:r>
      <w:r>
        <w:rPr>
          <w:i/>
          <w:iCs/>
        </w:rPr>
        <w:t>archicration</w:t>
      </w:r>
      <w:r>
        <w:rPr/>
        <w:t xml:space="preserve"> (lieu de recours), dans d’autres comme </w:t>
      </w:r>
      <w:r>
        <w:rPr>
          <w:i/>
          <w:iCs/>
        </w:rPr>
        <w:t>cratialité</w:t>
      </w:r>
      <w:r>
        <w:rPr/>
        <w:t xml:space="preserve"> (outil de blocage), dans d’autres encore comme </w:t>
      </w:r>
      <w:r>
        <w:rPr>
          <w:i/>
          <w:iCs/>
        </w:rPr>
        <w:t>arcalité</w:t>
      </w:r>
      <w:r>
        <w:rPr/>
        <w:t xml:space="preserve"> (source de légitimité symbolique). D’où l’importance de dés-essentialiser les fonctions, et de relire chaque dispositif en fonction de la prise qu’il exerce dans la régulation.</w:t>
      </w:r>
    </w:p>
    <w:p>
      <w:pPr>
        <w:pStyle w:val="BodyText"/>
        <w:rPr/>
      </w:pPr>
      <w:r>
        <w:rPr/>
        <w:t>Cette irréductibilité est également épistémologiquement essentielle. Elle permet d’éviter les dérives totalisantes des paradigmes monodimensionnels : les théories du pouvoir qui réduisent tout à la domination (</w:t>
      </w:r>
      <w:r>
        <w:rPr>
          <w:i/>
          <w:iCs/>
        </w:rPr>
        <w:t>kratòs</w:t>
      </w:r>
      <w:r>
        <w:rPr/>
        <w:t>), à la norme (</w:t>
      </w:r>
      <w:r>
        <w:rPr>
          <w:i/>
          <w:iCs/>
        </w:rPr>
        <w:t>nomos</w:t>
      </w:r>
      <w:r>
        <w:rPr/>
        <w:t>), au discours (</w:t>
      </w:r>
      <w:r>
        <w:rPr>
          <w:i/>
          <w:iCs/>
        </w:rPr>
        <w:t>logos</w:t>
      </w:r>
      <w:r>
        <w:rPr/>
        <w:t>) ou à la scène (</w:t>
      </w:r>
      <w:r>
        <w:rPr>
          <w:i/>
          <w:iCs/>
        </w:rPr>
        <w:t>agora</w:t>
      </w:r>
      <w:r>
        <w:rPr/>
        <w:t>) ne peuvent penser la complexité des régulations contemporaines. Seul un paradigme triadique différencié peut saisir la dynamique des tensions constitutives.</w:t>
      </w:r>
    </w:p>
    <w:p>
      <w:pPr>
        <w:pStyle w:val="BodyText"/>
        <w:rPr/>
      </w:pPr>
      <w:r>
        <w:rPr/>
        <w:t>Enfin, cette différenciation est politiquement salutaire. Car c’est elle qui rend possible une critique articulée, une exigence de réforme précise, une possibilité de reprise : on peut exiger un renforcement de l’</w:t>
      </w:r>
      <w:r>
        <w:rPr>
          <w:i/>
          <w:iCs/>
        </w:rPr>
        <w:t>archicration</w:t>
      </w:r>
      <w:r>
        <w:rPr/>
        <w:t xml:space="preserve"> sans remettre en cause l’</w:t>
      </w:r>
      <w:r>
        <w:rPr>
          <w:i/>
          <w:iCs/>
        </w:rPr>
        <w:t>arcalité</w:t>
      </w:r>
      <w:r>
        <w:rPr/>
        <w:t xml:space="preserve"> ; on peut contester une </w:t>
      </w:r>
      <w:r>
        <w:rPr>
          <w:i/>
          <w:iCs/>
        </w:rPr>
        <w:t>cratialité</w:t>
      </w:r>
      <w:r>
        <w:rPr/>
        <w:t xml:space="preserve"> opaque sans délégitimer la régulation elle-même ; on peut interroger un fondement sans paralyser l’action. Le paradigme ne fige pas : il ouvre à la disjonction constructive, à la critique située, à la réparation ciblée.</w:t>
      </w:r>
    </w:p>
    <w:p>
      <w:pPr>
        <w:pStyle w:val="BodyText"/>
        <w:rPr/>
      </w:pPr>
      <w:r>
        <w:rPr/>
        <w:t>C’est pourquoi cet axiome de différenciation est, avec celui de coprésence, l’un des gardiens fondamentaux du paradigme archicratique. Il empêche la confusion des fonctions, des registres, des prises. Il structure la lecture, régule l’analyse, et protège le paradigme contre la dérive spéculative. Toute régulation est tripolaire ; mais chaque pôle est irréductible aux deux autres.</w:t>
      </w:r>
    </w:p>
    <w:p>
      <w:pPr>
        <w:pStyle w:val="Heading3"/>
        <w:numPr>
          <w:ilvl w:val="2"/>
          <w:numId w:val="2"/>
        </w:numPr>
        <w:rPr/>
      </w:pPr>
      <w:r>
        <w:rPr/>
        <w:t>1.3.3 — Axiome de détectabilité</w:t>
      </w:r>
    </w:p>
    <w:p>
      <w:pPr>
        <w:pStyle w:val="BodyText"/>
        <w:rPr/>
      </w:pPr>
      <w:r>
        <w:rPr/>
        <w:t xml:space="preserve">Tout dispositif régulateur manifeste, en acte ou en creux, des signes, objets ou symptômes de ses trois pôles constitutifs : </w:t>
      </w:r>
      <w:r>
        <w:rPr>
          <w:i/>
          <w:iCs/>
        </w:rPr>
        <w:t>arcalité, cratialité, archicration</w:t>
      </w:r>
      <w:r>
        <w:rPr/>
        <w:t>. Ces traces sont repérables, déchiffrables, documentables.</w:t>
      </w:r>
    </w:p>
    <w:p>
      <w:pPr>
        <w:pStyle w:val="BodyText"/>
        <w:rPr/>
      </w:pPr>
      <w:r>
        <w:rPr/>
        <w:t>L’une des conditions essentielles de la validité scientifique d’un paradigme est sa capacité à produire des objets de repérage. C’est là une exigence aussi ancienne que le geste épistémologique lui-même : toute hypothèse robuste doit pouvoir se traduire en indicateurs empiriques, en phénomènes observables, en matérialités discernables. Sans cette possibilité de détection, le paradigme bascule dans le dogmatisme spéculatif ou dans l’abstraction stérile. C’est pourquoi le paradigme archicratique se dote d’un troisième principe fondamental : l’</w:t>
      </w:r>
      <w:r>
        <w:rPr>
          <w:i/>
          <w:iCs/>
        </w:rPr>
        <w:t>axiome de détectabilité</w:t>
      </w:r>
      <w:r>
        <w:rPr/>
        <w:t>.</w:t>
      </w:r>
    </w:p>
    <w:p>
      <w:pPr>
        <w:pStyle w:val="BodyText"/>
        <w:rPr/>
      </w:pPr>
      <w:r>
        <w:rPr/>
        <w:t>Cet axiome affirme que les trois pôles constitutifs de toute régulation — arcalité, cratialité, archicration — laissent des traces. Non pas nécessairement des objets immédiatement visibles ou simplement localisables dans l’espace social, mais toujours des signes différenciés, des formes métonymiques, des symptômes infra-structurels permettant d’attester leur présence, leur absence, leur mutation ou leur dissimulation.</w:t>
      </w:r>
    </w:p>
    <w:p>
      <w:pPr>
        <w:pStyle w:val="BodyText"/>
        <w:rPr/>
      </w:pPr>
      <w:r>
        <w:rPr/>
        <w:t>On ne saurait ici se contenter d’une ontologie des fonctions. Ce qui fonde, ce qui opère, ce qui se dispute ne sont pas des abstractions pures, mais des prises effectives qui affectent des situations, organisent des rapports, structurent des dispositifs. Et toute prise laisse une empreinte, un effet, une forme. L’</w:t>
      </w:r>
      <w:r>
        <w:rPr>
          <w:i/>
          <w:iCs/>
        </w:rPr>
        <w:t>arcalité</w:t>
      </w:r>
      <w:r>
        <w:rPr/>
        <w:t xml:space="preserve"> laisse des </w:t>
      </w:r>
      <w:r>
        <w:rPr>
          <w:i/>
          <w:iCs/>
        </w:rPr>
        <w:t>marques d’autorité ou d’origine</w:t>
      </w:r>
      <w:r>
        <w:rPr/>
        <w:t xml:space="preserve"> ; la </w:t>
      </w:r>
      <w:r>
        <w:rPr>
          <w:i/>
          <w:iCs/>
        </w:rPr>
        <w:t>cratialité</w:t>
      </w:r>
      <w:r>
        <w:rPr/>
        <w:t xml:space="preserve"> laisse des </w:t>
      </w:r>
      <w:r>
        <w:rPr>
          <w:i/>
          <w:iCs/>
        </w:rPr>
        <w:t>marques d’opération ou d’effet</w:t>
      </w:r>
      <w:r>
        <w:rPr/>
        <w:t xml:space="preserve"> ; l’</w:t>
      </w:r>
      <w:r>
        <w:rPr>
          <w:i/>
          <w:iCs/>
        </w:rPr>
        <w:t>archicration</w:t>
      </w:r>
      <w:r>
        <w:rPr/>
        <w:t xml:space="preserve"> laisse des </w:t>
      </w:r>
      <w:r>
        <w:rPr>
          <w:i/>
          <w:iCs/>
        </w:rPr>
        <w:t>marques de différé ou d’opposabilité</w:t>
      </w:r>
      <w:r>
        <w:rPr/>
        <w:t>. Ces marques ne sont pas nécessairement explicites, mais elles sont détectables dans leur performativité concrète.</w:t>
      </w:r>
    </w:p>
    <w:p>
      <w:pPr>
        <w:pStyle w:val="BodyText"/>
        <w:rPr/>
      </w:pPr>
      <w:r>
        <w:rPr/>
        <w:t>Ce postulat est ce qui distingue fondamentalement un paradigme critique d’un prêche dogmatique. Là où la doxa se satisfait d’un discours de dénonciation ou de déploration générale, un paradigme critique exige que l’on puisse identifier les mécanismes concrets, déplier les chaînes de causalité, cartographier les formes et les formats par lesquels les pôles agissent ou se dérobent.</w:t>
      </w:r>
    </w:p>
    <w:p>
      <w:pPr>
        <w:pStyle w:val="BodyText"/>
        <w:rPr/>
      </w:pPr>
      <w:r>
        <w:rPr/>
        <w:t xml:space="preserve">Prenons quelques cas, tirés de régulations empiriques actuelles. D’abord, premier cas, un algorithme de notation des allocataires, utilisé par une agence de service public, laisse une </w:t>
      </w:r>
      <w:r>
        <w:rPr>
          <w:i/>
          <w:iCs/>
        </w:rPr>
        <w:t>trace cratiale</w:t>
      </w:r>
      <w:r>
        <w:rPr/>
        <w:t xml:space="preserve"> (le code, l’interface, les données d’entrée) ; il peut laisser une </w:t>
      </w:r>
      <w:r>
        <w:rPr>
          <w:i/>
          <w:iCs/>
        </w:rPr>
        <w:t>trace arcale</w:t>
      </w:r>
      <w:r>
        <w:rPr/>
        <w:t xml:space="preserve"> (un décret d’instauration, une doctrine implicite d’efficience budgétaire) ; il peut ne laisser aucune </w:t>
      </w:r>
      <w:r>
        <w:rPr>
          <w:i/>
          <w:iCs/>
        </w:rPr>
        <w:t>trace archicrative</w:t>
      </w:r>
      <w:r>
        <w:rPr/>
        <w:t xml:space="preserve"> (pas de publication des critères, pas de voie de recours, pas de transparence procédurale). L’absence elle-même devient un signe : le vide de contestation est un indicateur de capture.</w:t>
      </w:r>
    </w:p>
    <w:p>
      <w:pPr>
        <w:pStyle w:val="BodyText"/>
        <w:rPr/>
      </w:pPr>
      <w:r>
        <w:rPr/>
        <w:t>À l’inverse, autre cas, un dispositif de régulation environnementale porté par une instance participative mixte (État, ONG, citoyens, scientifiques) laisse une triple série de signes : charte fondatrice ou traité (</w:t>
      </w:r>
      <w:r>
        <w:rPr>
          <w:i/>
          <w:iCs/>
        </w:rPr>
        <w:t>arcalité</w:t>
      </w:r>
      <w:r>
        <w:rPr/>
        <w:t>), documents de cadrage opérationnel et matrices de mise en œuvre (</w:t>
      </w:r>
      <w:r>
        <w:rPr>
          <w:i/>
          <w:iCs/>
        </w:rPr>
        <w:t>cratialité</w:t>
      </w:r>
      <w:r>
        <w:rPr/>
        <w:t>), comptes rendus délibératifs, délais d’amendement, protocoles de révision (</w:t>
      </w:r>
      <w:r>
        <w:rPr>
          <w:i/>
          <w:iCs/>
        </w:rPr>
        <w:t>archicration</w:t>
      </w:r>
      <w:r>
        <w:rPr/>
        <w:t>). Ce n’est pas leur perfection qui importe ici, mais leur localisation et leur lisibilité.</w:t>
      </w:r>
    </w:p>
    <w:p>
      <w:pPr>
        <w:pStyle w:val="BodyText"/>
        <w:rPr/>
      </w:pPr>
      <w:r>
        <w:rPr/>
        <w:t>Mais les traces ne sont pas toujours textuelles ou objectivables selon des standards positivistes. Certaines sont symboliques, rituelles, spatiales, architecturales, performatives. Une salle close sans public ni captation vidéo, un badge sans identité nominative, une convocation sans mention du droit de recours, un tableau de bord sans seuils de déclenchement… tous ces détails, ces formes mineures, sont les métonymies silencieuses de la régulation. Elles disent, sans discours, ce qui est légitime, ce qui est exercé, ce qui est controversable — ou non.</w:t>
      </w:r>
    </w:p>
    <w:p>
      <w:pPr>
        <w:pStyle w:val="BodyText"/>
        <w:rPr/>
      </w:pPr>
      <w:r>
        <w:rPr/>
        <w:t xml:space="preserve">L’analyse archicratique devient alors un art de la lecture métonymique : une capacité à repérer les </w:t>
      </w:r>
      <w:r>
        <w:rPr>
          <w:i/>
          <w:iCs/>
        </w:rPr>
        <w:t>objets-signatures</w:t>
      </w:r>
      <w:r>
        <w:rPr/>
        <w:t xml:space="preserve">, les </w:t>
      </w:r>
      <w:r>
        <w:rPr>
          <w:i/>
          <w:iCs/>
        </w:rPr>
        <w:t>vecteurs de fonction</w:t>
      </w:r>
      <w:r>
        <w:rPr/>
        <w:t xml:space="preserve">, les </w:t>
      </w:r>
      <w:r>
        <w:rPr>
          <w:i/>
          <w:iCs/>
        </w:rPr>
        <w:t>indices de prise ou de retrait</w:t>
      </w:r>
      <w:r>
        <w:rPr/>
        <w:t>. À ce titre, elle réclame une méthode à la fois documentaire (examiner les textes, les procès-verbaux, les décisions), ethnographique (observer les scènes, les silences, les rituels), sémiotique (analyser les formes, les signes, les temporalités), et institutionnelle (situer les effets, les fonctions, les jeux de rôle). La pensée archicratique est une pensée indiciaire, au sens de Carlo Ginzburg : elle traque les traces là où le pouvoir peut les avoir effacées.</w:t>
      </w:r>
    </w:p>
    <w:p>
      <w:pPr>
        <w:pStyle w:val="BodyText"/>
        <w:rPr/>
      </w:pPr>
      <w:r>
        <w:rPr/>
        <w:t xml:space="preserve">Mais, et c’est là un point crucial, cette détectabilité est aussi ce qui fonde l’exigence de vérifiabilité du paradigme lui-même. Un paradigme qui n’indique pas comment l’on pourrait attester empiriquement ses catégories court le risque de se transformer en idéologie molle ou en critique moralisante. Le paradigme archicratique ne postule pas l’existence universelle des trois pôles — il postule leur </w:t>
      </w:r>
      <w:r>
        <w:rPr>
          <w:i/>
          <w:iCs/>
        </w:rPr>
        <w:t>observance potentielle dans tout dispositif qui se prétend régulateur.</w:t>
      </w:r>
      <w:r>
        <w:rPr/>
        <w:t xml:space="preserve"> S’il n’y a rien à détecter, il n’y a rien à réguler — ou alors le dispositif relève de la violence brute, de l’habitus incorporé ou de la norme informelle, mais pas d’une régulation politique instituée. C’est là un critère de limite.</w:t>
      </w:r>
    </w:p>
    <w:p>
      <w:pPr>
        <w:pStyle w:val="BodyText"/>
        <w:rPr/>
      </w:pPr>
      <w:r>
        <w:rPr/>
        <w:t>L’</w:t>
      </w:r>
      <w:r>
        <w:rPr>
          <w:i/>
          <w:iCs/>
        </w:rPr>
        <w:t>axiome de détectabilité</w:t>
      </w:r>
      <w:r>
        <w:rPr/>
        <w:t xml:space="preserve"> fonctionne donc comme garantie épistémologique (ce que nous disons peut être vérifié, infirmé, cartographié), mais aussi comme levier politique : car ce que l’on peut détecter, on peut le critiquer. Et ce que l’on peut critiquer, on peut possiblement le transformer. Cet axiome est ainsi un outil de combat intellectuel — contre l’invisibilisation des dispositifs, contre l’effacement des responsabilités, contre la naturalisation des effets.</w:t>
      </w:r>
    </w:p>
    <w:p>
      <w:pPr>
        <w:pStyle w:val="BodyText"/>
        <w:rPr/>
      </w:pPr>
      <w:r>
        <w:rPr/>
        <w:t xml:space="preserve">Il en découle un impératif méthodologique : dans toute analyse archicratique, il faut traquer les traces. </w:t>
      </w:r>
      <w:r>
        <w:rPr>
          <w:i/>
          <w:iCs/>
        </w:rPr>
        <w:t>Traces d’arcalité</w:t>
      </w:r>
      <w:r>
        <w:rPr/>
        <w:t xml:space="preserve"> (fondements invoqués ou naturalisés), </w:t>
      </w:r>
      <w:r>
        <w:rPr>
          <w:i/>
          <w:iCs/>
        </w:rPr>
        <w:t>traces de cratialité</w:t>
      </w:r>
      <w:r>
        <w:rPr/>
        <w:t xml:space="preserve"> (vecteurs opérants, effets produits), </w:t>
      </w:r>
      <w:r>
        <w:rPr>
          <w:i/>
          <w:iCs/>
        </w:rPr>
        <w:t>traces d’archicration</w:t>
      </w:r>
      <w:r>
        <w:rPr/>
        <w:t xml:space="preserve"> (scènes instituées, temporalités différées, voies de reprise). Ces traces peuvent être faibles ou fortes, visibles ou latentes, affirmées ou dérobées, mais leur identification est la condition d’intelligibilité du paradigme.</w:t>
      </w:r>
    </w:p>
    <w:p>
      <w:pPr>
        <w:pStyle w:val="BodyText"/>
        <w:rPr/>
      </w:pPr>
      <w:r>
        <w:rPr/>
        <w:t>Dans la section 1.4, nous déploierons une cartographie systémique de ces objets-traces — non pas pour les figer dans un inventaire mort, mais pour outiller l’analyse critique et fonder une grille de lecture praticable. L’axiome de détectabilité en constitue le socle opératoire.</w:t>
      </w:r>
    </w:p>
    <w:p>
      <w:pPr>
        <w:pStyle w:val="Heading3"/>
        <w:numPr>
          <w:ilvl w:val="2"/>
          <w:numId w:val="2"/>
        </w:numPr>
        <w:rPr/>
      </w:pPr>
      <w:r>
        <w:rPr/>
        <w:t>1.3.4 — Axiome de disjonction fonctionnelle</w:t>
      </w:r>
    </w:p>
    <w:p>
      <w:pPr>
        <w:pStyle w:val="BodyText"/>
        <w:rPr/>
      </w:pPr>
      <w:r>
        <w:rPr/>
        <w:t xml:space="preserve">Aucun des trois pôles constitutifs du paradigme archicratique — </w:t>
      </w:r>
      <w:r>
        <w:rPr>
          <w:i/>
          <w:iCs/>
        </w:rPr>
        <w:t>arcalité, cratialité, archicration</w:t>
      </w:r>
      <w:r>
        <w:rPr/>
        <w:t xml:space="preserve"> — ne peut, seul, produire une régulation politiquement viable. Toute tentative de monopole fonctionnel engendre une pathologie de régulation, une crise de recevabilité, une opacité normative ou une instabilité de performance.</w:t>
      </w:r>
    </w:p>
    <w:p>
      <w:pPr>
        <w:pStyle w:val="BodyText"/>
        <w:rPr/>
      </w:pPr>
      <w:r>
        <w:rPr/>
        <w:t>Cet axiome tire toutes les conséquences analytiques et politiques de ce que nous avons établi comme architecture fondatrice du paradigme archicratique : la régulation politique ne repose pas sur un centre unique d’autorité, ni sur une mécanique univoque d’exécution, ni sur une utopie dialogique sans ancrage. Elle repose sur une tenue dynamique entre trois fonctions irréductibles : fonder, opérer, disputer.</w:t>
      </w:r>
    </w:p>
    <w:p>
      <w:pPr>
        <w:pStyle w:val="BodyText"/>
        <w:rPr/>
      </w:pPr>
      <w:r>
        <w:rPr/>
        <w:t>Mais plus encore que leur distinction, c’est leur non-substituabilité qui constitue le cœur de l’axiome ici énoncé. Ce que nous affirmons, c’est que chacun des trois pôles est nécessaire, mais aucun n’est suffisant. Pris isolément, chacun génère une forme de déséquilibre radical, une défaillance politique, un court-circuit de la régulation. Le paradigme archicratique, dès lors, ne repose pas sur une simple addition, mais bien sur une disjonction fonctionnelle stricte : les trois fonctions doivent être tenues ensemble, sans qu’aucune ne puisse se substituer aux deux autres.</w:t>
      </w:r>
    </w:p>
    <w:p>
      <w:pPr>
        <w:pStyle w:val="BodyText"/>
        <w:rPr/>
      </w:pPr>
      <w:r>
        <w:rPr/>
        <w:t>Ce principe a une portée théorique majeure. Il interdit toute régression vers une ontologie mono-polaire du politique. Il récuse les réductions trop souvent opérées dans l’analyse des dispositifs. Lorsque le politique est saisi uniquement comme fondement, valeur, idéal ou texte, la régulation devient pur symbolisme. C’est le règne du mythe ou du droit sans effets. Les chartes sont proclamées, mais rien ne les rend opératoires. La Constitution devient un fétiche ; la norme, un leurre. Cette sur-arcalisation engendre des régimes rhétoriques, où le fondement reste sans effet.</w:t>
      </w:r>
    </w:p>
    <w:p>
      <w:pPr>
        <w:pStyle w:val="BodyText"/>
        <w:rPr/>
      </w:pPr>
      <w:r>
        <w:rPr/>
        <w:t>Lorsque l’on ne considère que les opérations, les effets, les instruments, on tombe dans le technocratisme ou l’esprit gestionnaire. La régulation devient pure exécution. Il n’y a plus ni fondement, ni controverse, seulement des flux, des chiffres, des KPI, des indicateurs d’impact. C’est la pathologie managériale des démocraties libérales tardives : tout est gouverné, mais rien n’est habité politiquement. Seule la force traverse la langue du pouvoir.</w:t>
      </w:r>
    </w:p>
    <w:p>
      <w:pPr>
        <w:pStyle w:val="BodyText"/>
        <w:rPr/>
      </w:pPr>
      <w:r>
        <w:rPr/>
        <w:t>Autre réduction, lorsque tout est renvoyé à la dispute, à la consultation, à la délibération, mais sans fondement clair ni pouvoir opératoire réel, la régulation devient palabre, paralysie, forme vide de confrontation sans ancrage ni effectuation. C’est la pathologie participative : tout semble disputé, mais rien n’est transformé ; tout est mis en débat, mais rien n’est gouverné.</w:t>
      </w:r>
    </w:p>
    <w:p>
      <w:pPr>
        <w:pStyle w:val="BodyText"/>
        <w:rPr/>
      </w:pPr>
      <w:r>
        <w:rPr/>
        <w:t>L’histoire politique moderne offre de nombreux exemples de ces régimes déséquilibrés : républiques fondées sur des textes constitutionnels irréprochables, mais pratiquement inopérantes ; dictatures fonctionnelles et performantes bien que sans légitimité ni controverse possible ; démocraties dites « délibératives » paralysées par l’inflation des consultations sans pouvoir réel. Chaque fois qu’un pôle tend à se substituer aux deux autres, la régulation se dégrade — soit en simulacre, soit en oppression, soit en chaos.</w:t>
      </w:r>
    </w:p>
    <w:p>
      <w:pPr>
        <w:pStyle w:val="BodyText"/>
        <w:rPr/>
      </w:pPr>
      <w:r>
        <w:rPr/>
        <w:t>Ce que l’axiome de disjonction fonctionnelle impose, c’est une lecture différentielle, exigeante, des configurations régulatrices. Il oblige à penser non seulement la présence des trois pôles, mais surtout leur non-confusion. Il n’est pas rare, en effet, que des dispositifs affichent un fondement alors qu’il ne s’agit que d’un effet de langage cratial ; qu’ils prétendent à la dispute alors qu’ils ne permettent aucun recours réel ; qu’ils opèrent à vide sans principe exposable ni scène praticable. Ce ne sont pas là des formes accomplies de l’archicratie, mais des configurations autarchicratiques ou archicratistiques dans lesquelles les trois pôles sont mimés, exhibés ou stylisés tout en étant partiellement court-circuités — comme le montrent certaines plateformes de participation citoyenne entièrement encadrées par des algorithmes de tri, de hiérarchisation ou d’euphémisation.</w:t>
      </w:r>
    </w:p>
    <w:p>
      <w:pPr>
        <w:pStyle w:val="BodyText"/>
        <w:rPr/>
      </w:pPr>
      <w:r>
        <w:rPr/>
        <w:t>Autrement dit, ce que l’on croit parfois être une régulation équilibrée peut en réalité relever d’un effondrement fonctionnel déguisé, d’une substitution abusive, d’une délégation simulée. L’axiome de disjonction fonctionnelle (1.3.4) vient ensuite avertir que l’effacement, la neutralisation ou l’hypertrophie d’un seul pôle conduit nécessairement à une régulation pathologique. De sorte qu’un ordre privé de fondement exposable, de scène d’épreuve praticable ou de capacité opératoire effective n’est ni pleinement viable, ni légitime, ni habitable.</w:t>
      </w:r>
    </w:p>
    <w:p>
      <w:pPr>
        <w:pStyle w:val="BodyText"/>
        <w:rPr/>
      </w:pPr>
      <w:r>
        <w:rPr/>
        <w:t xml:space="preserve">Mais cet axiome a aussi une portée épistémologique et méthodologique. Il oblige l’analyste à disjoindre ce que la régulation tend à confondre. Il impose de ne pas se satisfaire d’un indicateur unique ou d’une déclaration de principe. Il exige de chercher, pour chaque dispositif : </w:t>
      </w:r>
      <w:r>
        <w:rPr>
          <w:i/>
          <w:iCs/>
        </w:rPr>
        <w:t>Quelle est la source réelle de l’arcalité invoquée ? Quelle est la structure effective de la cratialité mobilisée ? Quelle est la scène concrète d’archicration instituée ?</w:t>
      </w:r>
    </w:p>
    <w:p>
      <w:pPr>
        <w:pStyle w:val="BodyText"/>
        <w:rPr/>
      </w:pPr>
      <w:r>
        <w:rPr/>
        <w:t>Et si l’un de ces éléments manque, est mimé, est désactivé — alors la régulation est déséquilibrée, même si elle semble efficace ou juste. La viabilité politique d’un dispositif ne se mesure pas à sa performance, mais à sa tenue archicratique.</w:t>
      </w:r>
    </w:p>
    <w:p>
      <w:pPr>
        <w:pStyle w:val="BodyText"/>
        <w:rPr/>
      </w:pPr>
      <w:r>
        <w:rPr/>
        <w:t>Nous verrons, dans les sections suivantes, comment cet axiome fonde l’analyse des pathologies de régulation (section 1.5), comment il oriente les critères de recevabilité du paradigme (section 1.6), et comment il permet d’identifier les formes métonymiques des déséquilibres. Pour l’heure, il nous suffit d’affirmer ceci : le paradigme archicratique n’est valide que s’il résiste à la tentation de la réduction — qu’elle soit légitime, instrumentale ou dialogique. Car toute substitution d’un pôle aux deux autres tend à transformer la régulation en simulacre.</w:t>
      </w:r>
    </w:p>
    <w:p>
      <w:pPr>
        <w:pStyle w:val="Heading3"/>
        <w:numPr>
          <w:ilvl w:val="2"/>
          <w:numId w:val="2"/>
        </w:numPr>
        <w:rPr/>
      </w:pPr>
      <w:r>
        <w:rPr/>
        <w:t>1.3.5 — Axiome de variabilité différentielle</w:t>
      </w:r>
    </w:p>
    <w:p>
      <w:pPr>
        <w:pStyle w:val="BodyText"/>
        <w:rPr/>
      </w:pPr>
      <w:r>
        <w:rPr/>
        <w:t>Les formes prises par l’</w:t>
      </w:r>
      <w:r>
        <w:rPr>
          <w:i/>
          <w:iCs/>
        </w:rPr>
        <w:t>arcalité</w:t>
      </w:r>
      <w:r>
        <w:rPr/>
        <w:t xml:space="preserve">, la </w:t>
      </w:r>
      <w:r>
        <w:rPr>
          <w:i/>
          <w:iCs/>
        </w:rPr>
        <w:t>cratialité</w:t>
      </w:r>
      <w:r>
        <w:rPr/>
        <w:t xml:space="preserve"> et l’</w:t>
      </w:r>
      <w:r>
        <w:rPr>
          <w:i/>
          <w:iCs/>
        </w:rPr>
        <w:t>archicration</w:t>
      </w:r>
      <w:r>
        <w:rPr/>
        <w:t xml:space="preserve"> sont historiquement, culturellement et contextuellement variables. Le paradigme archicratique repose sur une structure invariante — la triade — mais dont les modalités concrètes de manifestation diffèrent selon les régimes, les sociétés, les dispositifs, les temporalités.</w:t>
      </w:r>
    </w:p>
    <w:p>
      <w:pPr>
        <w:pStyle w:val="BodyText"/>
        <w:rPr/>
      </w:pPr>
      <w:r>
        <w:rPr/>
        <w:t>Cet axiome invite à une prudence épistémologique fondamentale. Il affirme que, si la structure archicratique s’envisage comme universelle dans sa logique fonctionnelle, ses expressions empiriques, ses matérialisations sociales, ses inscriptions institutionnelles sont toujours situées, différenciées, et historiquement datables. Il s’oppose à toute tentation de normativité rigide ou de formalisme abstrait, et impose au contraire une lecture située, pluraliste, géo-historique des configurations politiques.</w:t>
      </w:r>
    </w:p>
    <w:p>
      <w:pPr>
        <w:pStyle w:val="BodyText"/>
        <w:rPr/>
      </w:pPr>
      <w:r>
        <w:rPr/>
        <w:t>C’est là un point d’équilibre décisif : Le paradigme archicratique n’est ni relativiste ni essentialiste. Il ne prétend pas que tout se vaut, que tout est contextuel, que toute régulation est incommensurable à une autre. Il postule au contraire une structure fonctionnelle minimale de toute régulation politique viable (</w:t>
      </w:r>
      <w:r>
        <w:rPr>
          <w:i/>
          <w:iCs/>
        </w:rPr>
        <w:t>arcalité, cratialité, archicration</w:t>
      </w:r>
      <w:r>
        <w:rPr/>
        <w:t>), mais il reconnaît la variabilité radicale des formats sous lesquels cette structure se donne à voir, à sentir, à habiter.</w:t>
      </w:r>
    </w:p>
    <w:p>
      <w:pPr>
        <w:pStyle w:val="BodyText"/>
        <w:rPr/>
      </w:pPr>
      <w:r>
        <w:rPr/>
        <w:t>L’</w:t>
      </w:r>
      <w:r>
        <w:rPr>
          <w:i/>
          <w:iCs/>
        </w:rPr>
        <w:t>arcalité</w:t>
      </w:r>
      <w:r>
        <w:rPr/>
        <w:t>, par exemple, peut être d’essence sacrée dans les sociétés théocratiques (charia, droit divin, clergé constitutionnel), juridique dans les États modernes (constitution, législation), scientifique dans les régulations contemporaines (données, modèles, protocoles), ou narrative dans les régimes symboliques ou mémoriels (récits de fondation, mythes nationaux). Sa forme change selon les épistémès, les cultures, les histoires politiques. Mais son rôle de fondement subsiste.</w:t>
      </w:r>
    </w:p>
    <w:p>
      <w:pPr>
        <w:pStyle w:val="BodyText"/>
        <w:rPr/>
      </w:pPr>
      <w:r>
        <w:rPr/>
        <w:t xml:space="preserve">La </w:t>
      </w:r>
      <w:r>
        <w:rPr>
          <w:i/>
          <w:iCs/>
        </w:rPr>
        <w:t>cratialité</w:t>
      </w:r>
      <w:r>
        <w:rPr/>
        <w:t>, elle aussi, varie fortement : dans une monarchie absolutiste, elle passe par la cour, les ordonnances, les agents du roi ; dans un État moderne, par la bureaucratie, les lois d’exécution, la logistique administrative ; dans une économie néolibérale, par le marché, les plateformes, les algorithmes, les signaux de prix. Dans certains contextes, la c</w:t>
      </w:r>
      <w:r>
        <w:rPr>
          <w:i/>
          <w:iCs/>
        </w:rPr>
        <w:t>ratialité</w:t>
      </w:r>
      <w:r>
        <w:rPr/>
        <w:t xml:space="preserve"> est concentrée (armée, police, haut fonctionnariat) ; dans d’autres, elle est distribuée (réseaux, </w:t>
      </w:r>
      <w:r>
        <w:rPr>
          <w:i/>
          <w:iCs/>
        </w:rPr>
        <w:t>smart contracts</w:t>
      </w:r>
      <w:r>
        <w:rPr/>
        <w:t>, objets connectés, délégations multiples). Mais dans tous les cas, elle opère.</w:t>
      </w:r>
    </w:p>
    <w:p>
      <w:pPr>
        <w:pStyle w:val="BodyText"/>
        <w:rPr/>
      </w:pPr>
      <w:r>
        <w:rPr/>
        <w:t>L’</w:t>
      </w:r>
      <w:r>
        <w:rPr>
          <w:i/>
          <w:iCs/>
        </w:rPr>
        <w:t>archicration</w:t>
      </w:r>
      <w:r>
        <w:rPr/>
        <w:t xml:space="preserve">, enfin, est sans doute la dimension la plus sensible à cette variabilité différentielle. Dans certaines sociétés, elle prend la forme de délibérations démocratiques formelles ; dans d’autres, elle se manifeste dans des rituels coutumiers, des médiations locales, des négociations informelles. Parfois, elle est incarnée dans des institutions (juridictions, instances de régulation, commissions indépendantes) ; ailleurs, elle est extrajudiciaire, médiatique, contestataire. Il arrive même qu’elle soit migrante, déplacée hors des circuits officiels — dans l’espace public, les réseaux sociaux, les tribunaux d’opinion, les contre-expertises citoyennes. Ce qui compte, ce n’est pas sa forme, mais son effectivité : </w:t>
      </w:r>
      <w:r>
        <w:rPr>
          <w:i/>
          <w:iCs/>
        </w:rPr>
        <w:t>existe-t-il un lieu, un temps, une procédure pour contester, pour ralentir, pour disputer la régulation ?</w:t>
      </w:r>
    </w:p>
    <w:p>
      <w:pPr>
        <w:pStyle w:val="BodyText"/>
        <w:rPr/>
      </w:pPr>
      <w:r>
        <w:rPr/>
        <w:t xml:space="preserve">Cet axiome implique donc une lecture topologique et comparative du politique. Il oblige à contextualiser chaque analyse, à éviter les jugements hâtifs (du type : « il n’y a pas de scène politique en Chine », ou « la régulation algorithmique n’est pas politique »), et à toujours s’interroger sur la forme spécifique que prend la </w:t>
      </w:r>
      <w:r>
        <w:rPr>
          <w:i/>
          <w:iCs/>
        </w:rPr>
        <w:t>triade arcalité–cratialité–archicration</w:t>
      </w:r>
      <w:r>
        <w:rPr/>
        <w:t xml:space="preserve"> dans un contexte donné.</w:t>
      </w:r>
    </w:p>
    <w:p>
      <w:pPr>
        <w:pStyle w:val="BodyText"/>
        <w:rPr/>
      </w:pPr>
      <w:r>
        <w:rPr/>
        <w:t>Il appelle aussi à penser les effets de mutation historique : un même dispositif peut changer de régime en changeant de forme. Un texte constitutionnel peut devenir pur symbole s’il n’est plus opposable ; une procédure algorithmique peut acquérir une force cratiale inattendue dès lors qu’elle structure massivement des décisions ; une consultation participative peut devenir archicrative à condition d’être réellement suivie d’effets. La variabilité est aussi dynamique.</w:t>
      </w:r>
    </w:p>
    <w:p>
      <w:pPr>
        <w:pStyle w:val="BodyText"/>
        <w:rPr/>
      </w:pPr>
      <w:r>
        <w:rPr/>
        <w:t xml:space="preserve">C’est ce qui permet au paradigme archicratique de circuler analytiquement entre différentes époques, sociétés et systèmes politiques sans tomber dans l’anachronisme ni l’ethnocentrisme. On peut analyser les rites de décision dans une chefferie kanak, les procès publics dans la Rome antique, les plateformes de gouvernance dans une </w:t>
      </w:r>
      <w:r>
        <w:rPr>
          <w:i/>
          <w:iCs/>
        </w:rPr>
        <w:t>smart city</w:t>
      </w:r>
      <w:r>
        <w:rPr/>
        <w:t xml:space="preserve">, les logiques de coordination dans une organisation supranationale, et y chercher les </w:t>
      </w:r>
      <w:r>
        <w:rPr>
          <w:i/>
          <w:iCs/>
        </w:rPr>
        <w:t>formes spécifiques d’arcalité, de cratialité et d’archicration</w:t>
      </w:r>
      <w:r>
        <w:rPr/>
        <w:t xml:space="preserve"> — sans supposer leurs configurations ou leurs schémas.</w:t>
      </w:r>
    </w:p>
    <w:p>
      <w:pPr>
        <w:pStyle w:val="BodyText"/>
        <w:rPr/>
      </w:pPr>
      <w:r>
        <w:rPr/>
        <w:t xml:space="preserve">Mais cette variabilité n’est pas un relativisme mou. Car à chaque configuration, on peut poser des questions structurantes : </w:t>
      </w:r>
      <w:r>
        <w:rPr>
          <w:i/>
          <w:iCs/>
        </w:rPr>
        <w:t>Où est le fondement ? Par quoi cela opère ? Où et comment cela peut-il être mis à l’épreuve ? Qui fonde, qui opère, qui conteste ? Quels sont les objets, les figures, les temporalités impliquées ?</w:t>
      </w:r>
    </w:p>
    <w:p>
      <w:pPr>
        <w:pStyle w:val="BodyText"/>
        <w:rPr/>
      </w:pPr>
      <w:r>
        <w:rPr/>
        <w:t>Ce sont ces questions qui donnent sa force diagnostic au paradigme archicratique. Et c’est l’</w:t>
      </w:r>
      <w:r>
        <w:rPr>
          <w:i/>
          <w:iCs/>
        </w:rPr>
        <w:t>axiome de variabilité différentielle</w:t>
      </w:r>
      <w:r>
        <w:rPr/>
        <w:t xml:space="preserve"> qui garantit que cette force ne se transforme pas en dogme : en reconnaissant la diversité des formes, il préserve la fécondité critique du cadre sans figer ses objets.</w:t>
      </w:r>
    </w:p>
    <w:p>
      <w:pPr>
        <w:pStyle w:val="BodyText"/>
        <w:rPr/>
      </w:pPr>
      <w:r>
        <w:rPr/>
        <w:t>En somme, il n’y a pas un seul modèle d’</w:t>
      </w:r>
      <w:r>
        <w:rPr>
          <w:i/>
          <w:iCs/>
        </w:rPr>
        <w:t>arcalité</w:t>
      </w:r>
      <w:r>
        <w:rPr/>
        <w:t xml:space="preserve">, de </w:t>
      </w:r>
      <w:r>
        <w:rPr>
          <w:i/>
          <w:iCs/>
        </w:rPr>
        <w:t>cratialité</w:t>
      </w:r>
      <w:r>
        <w:rPr/>
        <w:t xml:space="preserve"> ou d’</w:t>
      </w:r>
      <w:r>
        <w:rPr>
          <w:i/>
          <w:iCs/>
        </w:rPr>
        <w:t>archicration</w:t>
      </w:r>
      <w:r>
        <w:rPr/>
        <w:t>. Il y a une structure commune à toute régulation politique viable, mais ses modes d’incarnation sont toujours différenciés, pluralisés, situés. Cet axiome nous prémunit contre les généralisations abusives, les catégories trop occidentalo-centrées, les lectures unilinéaires de la modernité. Il nous impose de penser les régulations à partir de ce qu’elles font, non de ce qu’elles prétendent être — et de toujours articuler la forme et la fonction, la structure et la scène, le principe et le contexte.</w:t>
      </w:r>
    </w:p>
    <w:p>
      <w:pPr>
        <w:pStyle w:val="Heading3"/>
        <w:numPr>
          <w:ilvl w:val="2"/>
          <w:numId w:val="2"/>
        </w:numPr>
        <w:rPr/>
      </w:pPr>
      <w:r>
        <w:rPr/>
        <w:t>1.3.6 — Axiome d’incomplétude systémique</w:t>
      </w:r>
    </w:p>
    <w:p>
      <w:pPr>
        <w:pStyle w:val="BodyText"/>
        <w:rPr/>
      </w:pPr>
      <w:r>
        <w:rPr/>
        <w:t>Aucune régulation n’est jamais totalement saturée : tout dispositif, si cohérent et efficace soit-il, comporte une zone de silence, un excédent d’indétermination, un reste non maîtrisé. L’</w:t>
      </w:r>
      <w:r>
        <w:rPr>
          <w:i/>
          <w:iCs/>
        </w:rPr>
        <w:t>archicratie</w:t>
      </w:r>
      <w:r>
        <w:rPr/>
        <w:t>, en tant que paradigme critique, intègre cette incomplétude comme une donnée constitutive du politique.</w:t>
      </w:r>
    </w:p>
    <w:p>
      <w:pPr>
        <w:pStyle w:val="BodyText"/>
        <w:rPr/>
      </w:pPr>
      <w:r>
        <w:rPr/>
        <w:t xml:space="preserve">Cet axiome s’inscrit au croisement de trois traditions intellectuelles majeures : en logique, il résonne avec les théorèmes d’incomplétude de Gödel (1931), qui démontrent qu’un système formel cohérent ne peut être à la fois complet et consistant ; en psychanalyse, il fait écho à l’idée freudienne puis lacanienne de l’irréductibilité du manque dans la structuration du sujet ; en philosophie politique, il rejoint l’intuition lefortienne du vide du lieu du pouvoir : « il n’y a pas de substance du pouvoir, seulement sa mise en forme provisoire et contestable » (Lefort, </w:t>
      </w:r>
      <w:r>
        <w:rPr>
          <w:i/>
          <w:iCs/>
        </w:rPr>
        <w:t>L’invention démocratique</w:t>
      </w:r>
      <w:r>
        <w:rPr/>
        <w:t>, 1981).</w:t>
      </w:r>
    </w:p>
    <w:p>
      <w:pPr>
        <w:pStyle w:val="BodyText"/>
        <w:rPr/>
      </w:pPr>
      <w:r>
        <w:rPr/>
        <w:t>Appliqué à la régulation politique, cet axiome affirme que tout dispositif, même solidement fondé (</w:t>
      </w:r>
      <w:r>
        <w:rPr>
          <w:i/>
          <w:iCs/>
        </w:rPr>
        <w:t>arcalité</w:t>
      </w:r>
      <w:r>
        <w:rPr/>
        <w:t>), puissamment opérant (</w:t>
      </w:r>
      <w:r>
        <w:rPr>
          <w:i/>
          <w:iCs/>
        </w:rPr>
        <w:t>cratialité</w:t>
      </w:r>
      <w:r>
        <w:rPr/>
        <w:t>), et formellement controversable (</w:t>
      </w:r>
      <w:r>
        <w:rPr>
          <w:i/>
          <w:iCs/>
        </w:rPr>
        <w:t>archicration</w:t>
      </w:r>
      <w:r>
        <w:rPr/>
        <w:t>), contient une marge non effectuée, une part de non représenté, un point aveugle irréductible. Il n’existe pas de système parfaitement clos, intégralement justifié, absolument maîtrisé. Cette incomplétude n’est pas un défaut à corriger, mais une structure à reconnaître — et à assumer politiquement.</w:t>
      </w:r>
    </w:p>
    <w:p>
      <w:pPr>
        <w:pStyle w:val="BodyText"/>
        <w:rPr/>
      </w:pPr>
      <w:r>
        <w:rPr/>
        <w:t>Il faut ici opérer un retournement fondamental : le reste n’est pas l’erreur, le résidu ou l’imperfection d’un système en voie d’achèvement. Il est ce par quoi le politique se maintient ouvert, ce par quoi la contestation demeure possible, ce par quoi la conflictualité ne se résorbe jamais tout à fait. Ce que l’incomplétude désigne, c’est la condition d’habitabilité d’un ordre : un ordre totalement saturé, sans reste, sans hors-champ, sans excédent, serait un ordre totalitaire.</w:t>
      </w:r>
    </w:p>
    <w:p>
      <w:pPr>
        <w:pStyle w:val="BodyText"/>
        <w:rPr/>
      </w:pPr>
      <w:r>
        <w:rPr/>
        <w:t>Dans la réalité, cette incomplétude peut prendre plusieurs formes. Ce sont des écarts entre la norme affichée et l’application effective (lois inappliquées, règles contournées, zones d’ombre procédurales). Il peut s’agir de sujets non pris en compte dans un dispositif (populations sans statut, minorités silencieuses, besoins non modélisables). Cette incomplétude peut aussi refléter des effets secondaires non anticipés (externalités, rebonds systémiques, effets pervers) ; ou bien encore des désaccords indiscernables (controverses épistémiques persistantes, dilemmes moraux insolubles, conflits de valeurs).</w:t>
      </w:r>
    </w:p>
    <w:p>
      <w:pPr>
        <w:pStyle w:val="BodyText"/>
        <w:rPr/>
      </w:pPr>
      <w:r>
        <w:rPr/>
        <w:t xml:space="preserve">Ce que ce paradigme permet, c’est de lire ces incomplétudes non comme accidents mais comme révélateurs. Dans une optique archicratique, le reste devient un objet politique à part entière. Il signe les limites d’un dispositif, les seuils de sa viabilité, les marges de sa contestation. Il est ce qui rend la </w:t>
      </w:r>
      <w:r>
        <w:rPr>
          <w:i/>
          <w:iCs/>
        </w:rPr>
        <w:t>scène archicrative</w:t>
      </w:r>
      <w:r>
        <w:rPr/>
        <w:t xml:space="preserve"> toujours nécessaire : parce qu’il y a du reste, il y a lieu d’ouvrir, de discuter, de réviser, de reconfigurer pour permettre l’évolution.</w:t>
      </w:r>
    </w:p>
    <w:p>
      <w:pPr>
        <w:pStyle w:val="BodyText"/>
        <w:rPr/>
      </w:pPr>
      <w:r>
        <w:rPr/>
        <w:t>Cette perspective a des conséquences majeures sur la manière d’évaluer les régulations. Elle interdit l’illusion d’un dispositif parfait, totalement efficient, entièrement maîtrisé. Elle impose une lecture critique constante, qui ne confond pas efficacité et légitimité, ni optimisation et justice. Elle nous invite à repérer les symptômes de saturation (fermeture des recours, opacité croissante, mimétisme institutionnel) comme des signes de régulation pathologique.</w:t>
      </w:r>
    </w:p>
    <w:p>
      <w:pPr>
        <w:pStyle w:val="BodyText"/>
        <w:rPr/>
      </w:pPr>
      <w:r>
        <w:rPr/>
        <w:t>Mais l’</w:t>
      </w:r>
      <w:r>
        <w:rPr>
          <w:i/>
          <w:iCs/>
        </w:rPr>
        <w:t>axiome d’incomplétude systémique</w:t>
      </w:r>
      <w:r>
        <w:rPr/>
        <w:t xml:space="preserve"> joue aussi comme garde-fou contre une dérive inverse : celle d’un scepticisme intégral ou d’un cynisme paralysant. Ce n’est pas parce qu’aucun système n’est complet qu’il faut tous les rejeter. C’est au contraire parce qu’ils sont incomplets qu’ils doivent être disputés, évaluables, perfectibles. La démocratie, disait Jacques Rancière, n’est pas le régime du consensus, mais bien celui du </w:t>
      </w:r>
      <w:r>
        <w:rPr>
          <w:i/>
          <w:iCs/>
        </w:rPr>
        <w:t>dissensus institué</w:t>
      </w:r>
      <w:r>
        <w:rPr/>
        <w:t xml:space="preserve"> — c’est-à-dire la reconnaissance explicite du caractère toujours provisoire, toujours contestable de l’ordre politique.</w:t>
      </w:r>
    </w:p>
    <w:p>
      <w:pPr>
        <w:pStyle w:val="BodyText"/>
        <w:rPr/>
      </w:pPr>
      <w:r>
        <w:rPr/>
        <w:t>Ainsi, l’</w:t>
      </w:r>
      <w:r>
        <w:rPr>
          <w:i/>
          <w:iCs/>
        </w:rPr>
        <w:t>axiome d’incomplétude systémique</w:t>
      </w:r>
      <w:r>
        <w:rPr/>
        <w:t xml:space="preserve"> devient une clé de lecture herméneutique : il nous oblige à chercher les zones de silence, à interroger les objets métonymiques absents, à débusquer les asymétries invisibles. Il renforce l’importance de l’</w:t>
      </w:r>
      <w:r>
        <w:rPr>
          <w:i/>
          <w:iCs/>
        </w:rPr>
        <w:t>archicration</w:t>
      </w:r>
      <w:r>
        <w:rPr/>
        <w:t>, non comme supplément procédural, mais comme réponse structurelle à l’impossibilité de saturation.</w:t>
      </w:r>
    </w:p>
    <w:p>
      <w:pPr>
        <w:pStyle w:val="BodyText"/>
        <w:rPr/>
      </w:pPr>
      <w:r>
        <w:rPr/>
        <w:t>En philosophie politique, il est donc un principe de vigilance : toute régulation prétendant pouvoir se dispenser d’opposabilité est suspecte ; tout dispositif se présentant comme achevé est dangereux. L’incomplétude est la garantie du politique — non pas de l’ordre, mais de la possibilité de sa critique.</w:t>
      </w:r>
    </w:p>
    <w:p>
      <w:pPr>
        <w:pStyle w:val="BodyText"/>
        <w:rPr/>
      </w:pPr>
      <w:r>
        <w:rPr/>
        <w:t>Cet axiome fonde également la dimension anti-dogmatique du paradigme archicratique. Ce dernier ne cherche pas à dire le tout du pouvoir, ni à fournir un modèle universel clos. Il se présente comme un outil d’analyse ouvert, prêt à être ajusté, amendé, contesté à son tour. Car lui aussi comporte un reste : ce qu’il ne voit pas encore, ce qu’il ne peut pas encore penser. Et c’est cette reconnaissance même de son incomplétude qui le rend intellectuellement habitable.</w:t>
      </w:r>
    </w:p>
    <w:p>
      <w:pPr>
        <w:pStyle w:val="Heading3"/>
        <w:numPr>
          <w:ilvl w:val="2"/>
          <w:numId w:val="2"/>
        </w:numPr>
        <w:rPr/>
      </w:pPr>
      <w:r>
        <w:rPr/>
        <w:t>1.3.7 — Axiome d’épreuve critique</w:t>
      </w:r>
    </w:p>
    <w:p>
      <w:pPr>
        <w:pStyle w:val="BodyText"/>
        <w:rPr/>
      </w:pPr>
      <w:r>
        <w:rPr/>
        <w:t>Tout paradigme qui prétend décrire les régulations politiques doit rendre possible sa propre mise à l’épreuve. Il doit produire des instruments de falsifiabilité, de critique interne et de différenciation analytique.</w:t>
      </w:r>
    </w:p>
    <w:p>
      <w:pPr>
        <w:pStyle w:val="BodyText"/>
        <w:rPr/>
      </w:pPr>
      <w:r>
        <w:rPr/>
        <w:t>Une régulation n’est réputée pleinement archicratique qu’à la condition de rendre possible une scène d’épreuve où les prétentions arcale et cratiale puissent être opposées, arbitrées et révisées. Les formes de cette contestation peuvent être publiques, instituées, rituelles, situées ou faiblement codifiées, pourvu qu’elles soient praticables, opposables et capables d’infléchir la régulation.</w:t>
      </w:r>
    </w:p>
    <w:p>
      <w:pPr>
        <w:pStyle w:val="BodyText"/>
        <w:rPr/>
      </w:pPr>
      <w:r>
        <w:rPr/>
        <w:t>Il est une exigence trop oubliée des sciences sociales : un paradigme critique n’est pas une grille qui se plaque partout, mais une matrice qui se teste, s’affine et peut échouer. Toute proposition théorique sur le pouvoir, la régulation et l’opposabilité doit ainsi se soumettre à une exigence classique : sa capacité à être réfutée. Autrement dit, un paradigme qui s’appliquerait partout, tout le temps, sans jamais rencontrer de cas-limite, ne serait pas robuste : il serait vide.</w:t>
      </w:r>
    </w:p>
    <w:p>
      <w:pPr>
        <w:pStyle w:val="BodyText"/>
        <w:rPr/>
      </w:pPr>
      <w:r>
        <w:rPr/>
        <w:t>C’est pourquoi le paradigme archicratique, pour être recevable, doit se soumettre à sa propre épreuve critique. Il ne suffit pas de produire une grille séduisante : encore faut-il qu’elle distingue, qu’elle discrimine, qu’elle rate — autrement dit, qu’elle n’englobe pas tout sans reste. Ce que cet axiome institue, c’est la réflexivité obligatoire du cadre lui-même : il doit rendre possible la critique de ses propres postulats, la vérification de ses hypothèses, la possibilité d’en faire un usage précis, situé, contrôlé, opposable.</w:t>
      </w:r>
    </w:p>
    <w:p>
      <w:pPr>
        <w:pStyle w:val="BodyText"/>
        <w:rPr/>
      </w:pPr>
      <w:r>
        <w:rPr/>
        <w:t>Trois conditions en découlent directement :</w:t>
      </w:r>
    </w:p>
    <w:p>
      <w:pPr>
        <w:pStyle w:val="BodyText"/>
        <w:rPr/>
      </w:pPr>
      <w:r>
        <w:rPr/>
        <w:t>Le paradigme archicratique doit accepter des cas où il ne fonctionne pas. Il doit être possible d’identifier des dispositifs qui, bien que dépourvus d’une scène archicrative explicite, ne sont pas pour autant perçus comme illégitimes, opaques ou injustes. À l’inverse, il doit être possible de montrer que certaines scènes régulées — pourvues des trois pôles — échouent pourtant à produire un ordre juste ou viable. Ces contre-exemples sont cruciaux : ils signalent les limites du cadre, et permettent d’en renforcer la rigueur.</w:t>
      </w:r>
    </w:p>
    <w:p>
      <w:pPr>
        <w:pStyle w:val="BodyText"/>
        <w:rPr/>
      </w:pPr>
      <w:r>
        <w:rPr/>
        <w:t>Notre paradigme ne peut se contenter de projeter une critique externe sur les dispositifs régulés. Il doit aussi être capable de se relire lui-même, d’identifier ses propres angles morts, ses propres effets de cadrage, ses propres biais culturels, institutionnels, théoriques. Il doit intégrer, dans sa structure même, la possibilité de sa contestation. Cela suppose une posture de vigilance intellectuelle continue, mais aussi une méthodologie réflexive : usage situé, confrontation aux cas, circulation interdisciplinaire, réception contradictoire. Car un paradigme qui ne se discute pas, se discrédite.</w:t>
      </w:r>
    </w:p>
    <w:p>
      <w:pPr>
        <w:pStyle w:val="BodyText"/>
        <w:rPr/>
      </w:pPr>
      <w:r>
        <w:rPr/>
        <w:t xml:space="preserve">Enfin, le paradigme doit démontrer sa capacité à produire des distinctions effectives, c’est-à-dire à différencier les dispositifs, à catégoriser les régulations, à qualifier des variations de structures et non simplement à répéter un même diagnostic vague. Il ne suffit pas de voir de l’archicratie partout ; il faut pouvoir dire : </w:t>
      </w:r>
      <w:r>
        <w:rPr>
          <w:i/>
          <w:iCs/>
        </w:rPr>
        <w:t>où ? comment ? à quel degré ? dans quel état de bifurcation ? avec quels effets ?</w:t>
      </w:r>
    </w:p>
    <w:p>
      <w:pPr>
        <w:pStyle w:val="BodyText"/>
        <w:rPr/>
      </w:pPr>
      <w:r>
        <w:rPr/>
        <w:t>Ce que garantit cet axiome, c’est l’inscription du paradigme archicratique dans une éthique de la rigueur intellectuelle. Il ne se veut ni modèle universel, ni dénonciation automatique, ni théorème d’indignation permanente. Il se propose comme grille opératoire, comme outil d’enquête, comme diagnostic situé. Mais il n’a de valeur que s’il peut échouer. C’est dans cette capacité à reconnaître ses propres limites qu’il gagne sa crédibilité.</w:t>
      </w:r>
    </w:p>
    <w:p>
      <w:pPr>
        <w:pStyle w:val="BodyText"/>
        <w:rPr/>
      </w:pPr>
      <w:r>
        <w:rPr/>
        <w:t>Ce que cet axiome protège, en somme, c’est la vitalité épistémique du paradigme, sa capacité à rester un instrument de lucidité, et non un prisme dogmatique. En science politique comme en philosophie politique, la vérité d’un cadre théorique tient moins à ce qu’il affirme, qu’à ce qu’il autorise à penser, à contester, à distinguer. C’est cette condition d’épreuve — toujours renouvelée — qui fait du paradigme archicratique un outil intellectuellement habitable.</w:t>
      </w:r>
    </w:p>
    <w:p>
      <w:pPr>
        <w:pStyle w:val="Heading3"/>
        <w:numPr>
          <w:ilvl w:val="2"/>
          <w:numId w:val="2"/>
        </w:numPr>
        <w:rPr/>
      </w:pPr>
      <w:r>
        <w:rPr/>
        <w:t>1.3.8 — Axiome d’opérabilité transversale</w:t>
      </w:r>
    </w:p>
    <w:p>
      <w:pPr>
        <w:pStyle w:val="BodyText"/>
        <w:rPr/>
      </w:pPr>
      <w:r>
        <w:rPr/>
        <w:t>Un paradigme n’est valable que s’il résiste à l’épreuve des régimes. Un outil d’analyse n’est robuste que s’il traverse les configurations hétérogènes — monarchies, démocraties, technocraties, gouvernances hybrides — sans s’effondrer dans la généralité vide ou la contradiction interne.</w:t>
      </w:r>
    </w:p>
    <w:p>
      <w:pPr>
        <w:pStyle w:val="BodyText"/>
        <w:rPr/>
      </w:pPr>
      <w:r>
        <w:rPr/>
        <w:t>L’</w:t>
      </w:r>
      <w:r>
        <w:rPr>
          <w:i/>
          <w:iCs/>
        </w:rPr>
        <w:t>archicratie</w:t>
      </w:r>
      <w:r>
        <w:rPr/>
        <w:t xml:space="preserve"> n’est pas une forme de régime politique — elle n’est pas un type au sens de la typologie wébérienne (monarchie, démocratie, autoritarisme). Elle ne désigne ni une structure institutionnelle, ni une idéologie, ni une culture politique. Elle est une modalité de régulation, un style d’agencement entre trois pôles — </w:t>
      </w:r>
      <w:r>
        <w:rPr>
          <w:i/>
          <w:iCs/>
        </w:rPr>
        <w:t>arcalité, cratialité, archicration</w:t>
      </w:r>
      <w:r>
        <w:rPr/>
        <w:t xml:space="preserve"> — qui peut être observé à travers une variété de formes politiques. Ce que cet axiome affirme, c’est que le paradigme archicratique doit pouvoir être mobilisé comme méta-régime de régulation :</w:t>
      </w:r>
    </w:p>
    <w:p>
      <w:pPr>
        <w:pStyle w:val="BodyText"/>
        <w:numPr>
          <w:ilvl w:val="0"/>
          <w:numId w:val="3"/>
        </w:numPr>
        <w:rPr/>
      </w:pPr>
      <w:r>
        <w:rPr/>
        <w:t>dans des régimes démocratiques libéraux (ex. UE, États-Unis) : où l’</w:t>
      </w:r>
      <w:r>
        <w:rPr>
          <w:i/>
          <w:iCs/>
        </w:rPr>
        <w:t>arcalité</w:t>
      </w:r>
      <w:r>
        <w:rPr/>
        <w:t xml:space="preserve"> est pluraliste, la </w:t>
      </w:r>
      <w:r>
        <w:rPr>
          <w:i/>
          <w:iCs/>
        </w:rPr>
        <w:t>cratialité</w:t>
      </w:r>
      <w:r>
        <w:rPr/>
        <w:t xml:space="preserve"> technicisée, et l’</w:t>
      </w:r>
      <w:r>
        <w:rPr>
          <w:i/>
          <w:iCs/>
        </w:rPr>
        <w:t>archicration</w:t>
      </w:r>
      <w:r>
        <w:rPr/>
        <w:t xml:space="preserve"> souvent mimée ou saturée ;</w:t>
      </w:r>
    </w:p>
    <w:p>
      <w:pPr>
        <w:pStyle w:val="BodyText"/>
        <w:numPr>
          <w:ilvl w:val="0"/>
          <w:numId w:val="3"/>
        </w:numPr>
        <w:rPr/>
      </w:pPr>
      <w:r>
        <w:rPr/>
        <w:t xml:space="preserve">dans des régimes autoritaires (ex. Russie, Chine) : où la </w:t>
      </w:r>
      <w:r>
        <w:rPr>
          <w:i/>
          <w:iCs/>
        </w:rPr>
        <w:t>cratialité</w:t>
      </w:r>
      <w:r>
        <w:rPr/>
        <w:t xml:space="preserve"> peut être sur-déterminée, l’</w:t>
      </w:r>
      <w:r>
        <w:rPr>
          <w:i/>
          <w:iCs/>
        </w:rPr>
        <w:t>arcalité</w:t>
      </w:r>
      <w:r>
        <w:rPr/>
        <w:t xml:space="preserve"> mythifiée ou militarisée, et l’</w:t>
      </w:r>
      <w:r>
        <w:rPr>
          <w:i/>
          <w:iCs/>
        </w:rPr>
        <w:t>archicration</w:t>
      </w:r>
      <w:r>
        <w:rPr/>
        <w:t xml:space="preserve"> strictement encadrée ou supprimée ;</w:t>
      </w:r>
    </w:p>
    <w:p>
      <w:pPr>
        <w:pStyle w:val="BodyText"/>
        <w:numPr>
          <w:ilvl w:val="0"/>
          <w:numId w:val="3"/>
        </w:numPr>
        <w:rPr/>
      </w:pPr>
      <w:r>
        <w:rPr/>
        <w:t>dans des gouvernances post-souveraines (ex. plateformes transnationales, régulations climatiques globales) : où les trois pôles sont éclatés, distribués, externalisés, mais où l’analyse archicratique permet justement de recomposer la carte régulatrice ;</w:t>
      </w:r>
    </w:p>
    <w:p>
      <w:pPr>
        <w:pStyle w:val="BodyText"/>
        <w:numPr>
          <w:ilvl w:val="0"/>
          <w:numId w:val="3"/>
        </w:numPr>
        <w:rPr/>
      </w:pPr>
      <w:r>
        <w:rPr/>
        <w:t>dans des configurations historiques (ex. Église catholique médiévale, Empire ottoman, URSS) : où l’</w:t>
      </w:r>
      <w:r>
        <w:rPr>
          <w:i/>
          <w:iCs/>
        </w:rPr>
        <w:t>arcalité</w:t>
      </w:r>
      <w:r>
        <w:rPr/>
        <w:t xml:space="preserve"> religieuse, impériale ou idéologique cohabitait avec des </w:t>
      </w:r>
      <w:r>
        <w:rPr>
          <w:i/>
          <w:iCs/>
        </w:rPr>
        <w:t>cratialités</w:t>
      </w:r>
      <w:r>
        <w:rPr/>
        <w:t xml:space="preserve"> bureaucratiques puissantes, mais des </w:t>
      </w:r>
      <w:r>
        <w:rPr>
          <w:i/>
          <w:iCs/>
        </w:rPr>
        <w:t>archicrations</w:t>
      </w:r>
      <w:r>
        <w:rPr/>
        <w:t xml:space="preserve"> fermées ou clandestines.</w:t>
      </w:r>
    </w:p>
    <w:p>
      <w:pPr>
        <w:pStyle w:val="BodyText"/>
        <w:rPr/>
      </w:pPr>
      <w:r>
        <w:rPr/>
        <w:t>Cette transversalité n’est pas un luxe intellectuel, elle est la condition de la valeur heuristique du paradigme. Un cadre qui ne fonctionne que pour les démocraties occidentales technocratisées, ou uniquement pour l’État-nation, échoue à devenir un paradigme. Il reste un commentaire situé. Ce que nous visons ici, c’est une grammaire de régulation minimale, structurelle mais non structurante, qui ne présuppose aucun régime idéal, aucun sujet politique donné, aucune culture spécifique.</w:t>
      </w:r>
    </w:p>
    <w:p>
      <w:pPr>
        <w:pStyle w:val="BodyText"/>
        <w:rPr/>
      </w:pPr>
      <w:r>
        <w:rPr/>
        <w:t>Cependant, cette opérabilité transversale ne doit pas conduire à la dilution du cadre. Pour que le paradigme soit valide, il faut que l’application de ses trois pôles ne soit jamais arbitraire, mais toujours décrite, analysable, vérifiable, située. La transversalité est une épreuve, non un relâchement. Elle nous impose de tester : que l’</w:t>
      </w:r>
      <w:r>
        <w:rPr>
          <w:i/>
          <w:iCs/>
        </w:rPr>
        <w:t>arcalité</w:t>
      </w:r>
      <w:r>
        <w:rPr/>
        <w:t xml:space="preserve"> ne soit pas une pure invocation culturelle, mais un objet ou une trace repérable dans les pratiques, les textes, les institutions ; que la </w:t>
      </w:r>
      <w:r>
        <w:rPr>
          <w:i/>
          <w:iCs/>
        </w:rPr>
        <w:t>cratialité</w:t>
      </w:r>
      <w:r>
        <w:rPr/>
        <w:t xml:space="preserve"> ne soit pas réduite à « ce qui agit », mais à ce qui structure, transforme, opère en lien avec une normativité fondée ; que l’</w:t>
      </w:r>
      <w:r>
        <w:rPr>
          <w:i/>
          <w:iCs/>
        </w:rPr>
        <w:t>archicration</w:t>
      </w:r>
      <w:r>
        <w:rPr/>
        <w:t xml:space="preserve"> ne soit pas confondue avec le débat informel ou l’espace public diffus, mais définie comme scène, temporalité ou instance d’épreuve.</w:t>
      </w:r>
    </w:p>
    <w:p>
      <w:pPr>
        <w:pStyle w:val="BodyText"/>
        <w:rPr/>
      </w:pPr>
      <w:r>
        <w:rPr/>
        <w:t>Autrement dit, l’opérabilité transversale ne signifie pas qu’on puisse « voir de l’archicratie partout ». Elle signifie que dans chaque situation de régulation, si les trois pôles peuvent être analysés sans contradiction, identifiés sans ambiguïté, et mis en tension sans réduction, alors le paradigme est opératoire.</w:t>
      </w:r>
    </w:p>
    <w:p>
      <w:pPr>
        <w:pStyle w:val="BodyText"/>
        <w:rPr/>
      </w:pPr>
      <w:r>
        <w:rPr/>
        <w:t>Dans un monde où les formes de régulation se disséminent hors des États, où les régimes hybrides prolifèrent, où la souveraineté se dilue, penser politiquement exige de disposer de cadres qui ne se contentent pas d’être normatifs ou régionalement valides. Le paradigme archicratique propose ici une grille de lecture qui traverse les institutions, sans en présupposer la forme. Il est donc a-régime, mais non a-politique. Il permet une critique sans nostalgie de l’État, une lecture des dispositifs sans fixisme institutionnel, une analyse sans ethnocentrisme.</w:t>
      </w:r>
    </w:p>
    <w:p>
      <w:pPr>
        <w:pStyle w:val="BodyText"/>
        <w:rPr/>
      </w:pPr>
      <w:r>
        <w:rPr/>
        <w:t>Cet axiome verrouille la capacité du paradigme à ne pas se refermer sur lui-même. Il garantit qu’il reste intellectuellement habitable pour qui veut analyser une réforme locale, un traité climatique, une base militaire, une autorité administrative indépendante ou une entreprise transnationale.</w:t>
      </w:r>
    </w:p>
    <w:p>
      <w:pPr>
        <w:pStyle w:val="BodyText"/>
        <w:rPr/>
      </w:pPr>
      <w:r>
        <w:rPr/>
        <w:t>Si les autres axiomes définissent la structure du paradigme, celui-ci assure sa portée. Il ne vaut pas partout, mais peut valoir en tout lieu — à condition d’en faire l’usage rigoureux, situé et différencié qu’il requiert.</w:t>
      </w:r>
    </w:p>
    <w:p>
      <w:pPr>
        <w:pStyle w:val="Heading3"/>
        <w:numPr>
          <w:ilvl w:val="2"/>
          <w:numId w:val="2"/>
        </w:numPr>
        <w:rPr/>
      </w:pPr>
      <w:r>
        <w:rPr/>
        <w:t>La discipline de pensée du paradigme archicratique</w:t>
      </w:r>
    </w:p>
    <w:p>
      <w:pPr>
        <w:pStyle w:val="BodyText"/>
        <w:rPr/>
      </w:pPr>
      <w:r>
        <w:rPr/>
        <w:t>Les huit axiomes qui précèdent fixent la discipline minimale du paradigme archicratique. Les premiers en établissent la structure irréductible : toute régulation comporte, en acte ou en creux, une arcalité, une cratialité et une archicration ; aucune de ces prises ne peut être confondue avec les deux autres sans produire une cécité analytique ou une pathologie politique.</w:t>
      </w:r>
    </w:p>
    <w:p>
      <w:pPr>
        <w:pStyle w:val="BodyText"/>
        <w:rPr/>
      </w:pPr>
      <w:r>
        <w:rPr/>
        <w:t>Les suivants en assurent la prise empirique et la portée critique : les pôles laissent des traces, se manifestent dans des objets, des pratiques, des procédures et des scènes qu’une enquête rigoureuse peut documenter ; leur déséquilibre, leur neutralisation ou leur hypertrophie permettent de qualifier des formes différenciées de dérive, d’impuissance ou de clôture.</w:t>
      </w:r>
    </w:p>
    <w:p>
      <w:pPr>
        <w:pStyle w:val="BodyText"/>
        <w:rPr/>
      </w:pPr>
      <w:r>
        <w:rPr/>
        <w:t>Les derniers, enfin, en garantissent la robustesse théorique : la triade varie selon les contextes sans perdre sa fonction structurale ; aucune régulation n’épuise totalement ce qu’elle prétend ordonner ; et le paradigme lui-même ne vaut qu’à la condition de se soumettre à l’épreuve de la différenciation, de la réfutation et de la transposition située.</w:t>
      </w:r>
    </w:p>
    <w:p>
      <w:pPr>
        <w:pStyle w:val="BodyText"/>
        <w:rPr/>
      </w:pPr>
      <w:r>
        <w:rPr/>
        <w:t>Pris ensemble, ces axiomes dessinent moins un catéchisme conceptuel qu’une exigence de probité intellectuelle. Ils donnent au paradigme archicratique sa cohérence, sa falsifiabilité et sa puissance critique ; ils fixent surtout le seuil à partir duquel nos analyses peuvent être tenues pour recevables. C’est à leur lumière qu’il faut désormais lire la grammaire topologique des pôles, les formes dynamiques de leur articulation, les repères heuristiques de l’archicratie et les morphologies régulatrices qui en dérivent.</w:t>
      </w:r>
    </w:p>
    <w:p>
      <w:pPr>
        <w:pStyle w:val="BodyText"/>
        <w:rPr/>
      </w:pPr>
      <w:r>
        <w:rPr/>
        <w:t>Une formalisation synthétique de ces axiomes, sous forme de tableau opératoire, est proposée en annexe, afin d’en faciliter la mobilisation comparative et l’épreuve empirique.</w:t>
      </w:r>
    </w:p>
    <w:p>
      <w:pPr>
        <w:pStyle w:val="Heading2"/>
        <w:numPr>
          <w:ilvl w:val="1"/>
          <w:numId w:val="2"/>
        </w:numPr>
        <w:rPr/>
      </w:pPr>
      <w:r>
        <w:rPr>
          <w:b/>
          <w:bCs/>
        </w:rPr>
        <w:t>1.4 —</w:t>
      </w:r>
      <w:r>
        <w:rPr/>
        <w:t xml:space="preserve"> La grammaire topologique interne/externe de l’</w:t>
      </w:r>
      <w:r>
        <w:rPr>
          <w:i/>
          <w:iCs/>
        </w:rPr>
        <w:t>archicratie</w:t>
      </w:r>
    </w:p>
    <w:p>
      <w:pPr>
        <w:pStyle w:val="BodyText"/>
        <w:rPr/>
      </w:pPr>
      <w:r>
        <w:rPr/>
        <w:t>Penser la régulation politique dans le cadre du paradigme archicratique impose un effort particulier : il ne suffit pas de décrire des dispositifs ou de catégoriser des fonctions ; encore faut-il comprendre comment ces dispositifs se structurent, s’adossent et s’articulent à des sources, à des normes, à des injonctions ou à des milieux. Ce que nous nommons ici « grammaire topologique » désigne cette capacité à analyser les positions relatives qu’occupent les éléments constitutifs d’un ordre régulateur — et notamment à distinguer, sans les essentialiser, ce qui relève de l’interne et ce qui procède de l’externe. Ce n’est ni une cartographie géographique, ni une dichotomie ontologique : c’est une syntaxe relationnelle, une mise en tension structurante, un outil d’intelligibilité différenciée des régulations contemporaines.</w:t>
      </w:r>
    </w:p>
    <w:p>
      <w:pPr>
        <w:pStyle w:val="BodyText"/>
        <w:rPr/>
      </w:pPr>
      <w:r>
        <w:rPr/>
        <w:t>L’interne ne renvoie pas ici à un contenu clos, endogène ou autosuffisant, mais à ce qui est produit, référé ou assumé par le dispositif lui-même. L’externe, quant à lui, ne désigne pas seulement ce qui vient d’ailleurs, mais ce qui est projeté, greffé, imposé ou hérité depuis une altérité institutionnelle, normative, technique ou symbolique. Aucun de ces deux termes ne doit donc être compris comme une nature ou comme un état figé : il faut les saisir comme des positions fonctionnelles, dynamiques, susceptibles de se déplacer, de se brouiller et parfois de s’inverser.</w:t>
      </w:r>
    </w:p>
    <w:p>
      <w:pPr>
        <w:pStyle w:val="BodyText"/>
        <w:rPr/>
      </w:pPr>
      <w:r>
        <w:rPr/>
        <w:t>Cette distinction est devenue décisive dans les régulations contemporaines. Celles-ci ne s’adossent plus seulement à des sources internes de légitimation et à des moyens propres d’exécution ; elles sont traversées par des standards globaux, des logiciels propriétaires, des normes transnationales, des protocoles techniques, des dispositifs d’audit ou de certification qui reconfigurent de l’intérieur leurs conditions de fonctionnement. Le brouillage entre l’interne et l’externe n’est pas un phénomène secondaire : il est l’un des lieux mêmes où se joue aujourd’hui la lisibilité politique de la régulation.</w:t>
      </w:r>
    </w:p>
    <w:p>
      <w:pPr>
        <w:pStyle w:val="BodyText"/>
        <w:rPr/>
      </w:pPr>
      <w:r>
        <w:rPr/>
        <w:t>La grammaire topologique a précisément pour fonction de restituer cette lisibilité. Elle permet de lire chacun des trois pôles — arcalité, cratialité, archicration — selon la manière dont il s’ancre, circule, se déplace, s’impose ou se dispute. L’enjeu n’est donc pas de distribuer des essences, mais de cartographier des prises. C’est à cette condition seulement qu’une critique des régulations contemporaines peut redevenir située, informée et politiquement opérante.</w:t>
      </w:r>
    </w:p>
    <w:p>
      <w:pPr>
        <w:pStyle w:val="Heading3"/>
        <w:numPr>
          <w:ilvl w:val="2"/>
          <w:numId w:val="2"/>
        </w:numPr>
        <w:rPr/>
      </w:pPr>
      <w:r>
        <w:rPr/>
        <w:t xml:space="preserve">1.4.1 — </w:t>
      </w:r>
      <w:r>
        <w:rPr>
          <w:i/>
          <w:iCs/>
        </w:rPr>
        <w:t>Arcalités internes</w:t>
      </w:r>
      <w:r>
        <w:rPr/>
        <w:t xml:space="preserve"> : fondations auto-instituées, justifications endogènes et incarnations professionnelles</w:t>
      </w:r>
    </w:p>
    <w:p>
      <w:pPr>
        <w:pStyle w:val="BodyText"/>
        <w:rPr/>
      </w:pPr>
      <w:r>
        <w:rPr/>
        <w:t xml:space="preserve">Les arcalités internes constituent, au sein du paradigme archicratique, l’un des socles les plus subtils et les plus décisifs de toute configuration régulatrice. Elles désignent l’ensemble des justifications, principes, mythes, normes, récits ou codes qui émanent du dispositif lui-même, sans recours explicite à une autorité extérieure, surplombante ou transcendante. Ces fondements endogènes opèrent comme auto-invocations de légitimation : ils confèrent à l’ordre institué sa prétention à se suffire, à s’auto-justifier, à s’auto-garantir. Ils incarnent ce que Cornelius Castoriadis nomme l’auto-institution de la société, c’est-à-dire la capacité d’un collectif à poser ses propres significations imaginaires comme fondatrices, sans autre fondement que l’institution même du sens (Castoriadis, </w:t>
      </w:r>
      <w:r>
        <w:rPr>
          <w:i/>
          <w:iCs/>
        </w:rPr>
        <w:t>L’institution imaginaire de la société</w:t>
      </w:r>
      <w:r>
        <w:rPr/>
        <w:t>, 1975).</w:t>
      </w:r>
    </w:p>
    <w:p>
      <w:pPr>
        <w:pStyle w:val="BodyText"/>
        <w:rPr/>
      </w:pPr>
      <w:r>
        <w:rPr/>
        <w:t>Mais ces arcalités ne sont pas des abstractions désincarnées. Elles vivent par des figures humaines situées, au sein d’institutions et de professions qui en assurent la formulation, la transmission, la ritualisation ou la mise en récit. Toute arcalité interne suppose ainsi une communauté de portage : juristes, formateurs, responsables éthiques, pairs reconnus, anciens, référents professionnels, tous ceux qui font tenir un fondement en le transmettant, en le réactivant ou en l’invoquant dans l’usage.</w:t>
      </w:r>
    </w:p>
    <w:p>
      <w:pPr>
        <w:pStyle w:val="BodyText"/>
        <w:rPr/>
      </w:pPr>
      <w:r>
        <w:rPr/>
        <w:t>À ce socle incarné s’ajoutent des formes plus discrètes, souvent non verbalisées, par lesquelles un collectif stabilise un mode de coordination implicite : postures partagées, rythmes gestuels, configurations d’attention communes. Ces régulations ne passent ni par l’argumentation ni par le commandement, mais par une grammaire incorporée de la convenance et de la présence. Elles ne remplacent pas l’arcalité formulée ; elles en constituent souvent le soubassement pratique.</w:t>
      </w:r>
    </w:p>
    <w:p>
      <w:pPr>
        <w:pStyle w:val="BodyText"/>
        <w:rPr/>
      </w:pPr>
      <w:r>
        <w:rPr/>
        <w:t>Ce niveau basal de l’</w:t>
      </w:r>
      <w:r>
        <w:rPr>
          <w:i/>
          <w:iCs/>
        </w:rPr>
        <w:t>arcalité</w:t>
      </w:r>
      <w:r>
        <w:rPr/>
        <w:t xml:space="preserve"> interne révèle que tout fondement institué suppose aussi une économie de la présence, une grammaire implicite de la coprésence ajustée.</w:t>
      </w:r>
    </w:p>
    <w:p>
      <w:pPr>
        <w:pStyle w:val="BodyText"/>
        <w:rPr/>
      </w:pPr>
      <w:r>
        <w:rPr/>
        <w:t>Ainsi, ce que cette section vise à démontrer, c’est que dans tout système régulateur, il existe des formes instituées de légitimation qui proviennent de l’intérieur, portées par des acteurs situés, incarnées dans des objets ou des rituels, et investies comme sources de validité. Cette légitimation endogène peut s’inscrire dans une diversité de supports matériels ou immatériels : une charte d’éthique co-rédigée en assemblée interne, un serment professionnel prononcé lors d’un rite d’entrée dans la profession, une devise affichée dans les locaux, une archive fondatrice mobilisée lors des formations, ou encore une mémoire orale transmise entre anciens et nouveaux membres d’un collectif de métier.</w:t>
      </w:r>
    </w:p>
    <w:p>
      <w:pPr>
        <w:pStyle w:val="BodyText"/>
        <w:rPr/>
      </w:pPr>
      <w:r>
        <w:rPr/>
        <w:t xml:space="preserve">Le critère déterminant est double. D’une part, ces </w:t>
      </w:r>
      <w:r>
        <w:rPr>
          <w:i/>
          <w:iCs/>
        </w:rPr>
        <w:t>arcalité</w:t>
      </w:r>
      <w:r>
        <w:rPr/>
        <w:t>s doivent procéder du dispositif lui-même — être issues de son histoire, de son organisation, de ses acteurs, et non être imposées par une norme externe ou importée. D’autre part, elles doivent opérer comme principe de justification réel : donner sens, orienter l’action, encadrer l’usage du pouvoir ou limiter l’exercice de la force régulatrice.</w:t>
      </w:r>
    </w:p>
    <w:p>
      <w:pPr>
        <w:pStyle w:val="BodyText"/>
        <w:rPr/>
      </w:pPr>
      <w:r>
        <w:rPr/>
        <w:t xml:space="preserve">Prenons l’exemple paradigmatique du serment professionnel. Le serment d’Hippocrate, dans sa version contemporaine prononcée à l’entrée de la profession médicale, fonctionne comme une </w:t>
      </w:r>
      <w:r>
        <w:rPr>
          <w:i/>
          <w:iCs/>
        </w:rPr>
        <w:t>arcalité</w:t>
      </w:r>
      <w:r>
        <w:rPr/>
        <w:t xml:space="preserve"> </w:t>
      </w:r>
      <w:r>
        <w:rPr>
          <w:i/>
          <w:iCs/>
        </w:rPr>
        <w:t>interne</w:t>
      </w:r>
      <w:r>
        <w:rPr/>
        <w:t xml:space="preserve"> typique : il est porté par la profession elle-même, transmis par les pairs, encadré par des corps intermédiaires comme les ordres ou les facultés, et considéré comme source de légitimité pour la pratique médicale. De même, une charte de l’enseignant-chercheur élaborée collectivement et approuvée par une instance collégiale, produit une </w:t>
      </w:r>
      <w:r>
        <w:rPr>
          <w:i/>
          <w:iCs/>
        </w:rPr>
        <w:t>arcalité</w:t>
      </w:r>
      <w:r>
        <w:rPr/>
        <w:t xml:space="preserve"> endogène : elle incarne une norme professionnelle non imposée, mais assumée comme auto-régulation éthique.</w:t>
      </w:r>
    </w:p>
    <w:p>
      <w:pPr>
        <w:pStyle w:val="BodyText"/>
        <w:rPr/>
      </w:pPr>
      <w:r>
        <w:rPr/>
        <w:t xml:space="preserve">Mais il serait erroné de réduire ces </w:t>
      </w:r>
      <w:r>
        <w:rPr>
          <w:i/>
          <w:iCs/>
        </w:rPr>
        <w:t>arcalité</w:t>
      </w:r>
      <w:r>
        <w:rPr/>
        <w:t xml:space="preserve">s </w:t>
      </w:r>
      <w:r>
        <w:rPr>
          <w:i/>
          <w:iCs/>
        </w:rPr>
        <w:t>internes</w:t>
      </w:r>
      <w:r>
        <w:rPr/>
        <w:t xml:space="preserve"> à des énoncés symboliques ou des proclamations solennelles. Elles prennent des formes multiples, parfois discrètes, parfois ritualisées, toujours incarnées. Un règlement intérieur signé collectivement, une cérémonie d’accueil des nouveaux membres, une archive fondatrice revisitée à chaque crise, un rite de passage professionnel (comme la soutenance de thèse ou la titularisation), une parole d’ancien transmise à un jeune collègue : tous ces éléments participent de la fabrication arcale — à condition d’être reconnus comme tels par ceux qui les produisent, les transmettent et les vivent.</w:t>
      </w:r>
    </w:p>
    <w:p>
      <w:pPr>
        <w:pStyle w:val="BodyText"/>
        <w:rPr/>
      </w:pPr>
      <w:r>
        <w:rPr/>
        <w:t>Ces formes différenciées d’</w:t>
      </w:r>
      <w:r>
        <w:rPr>
          <w:i/>
          <w:iCs/>
        </w:rPr>
        <w:t>arcalité interne</w:t>
      </w:r>
      <w:r>
        <w:rPr/>
        <w:t xml:space="preserve"> peuvent être typologisées selon leurs vecteurs d’incarnation, sans prétendre à l’exhaustivité :</w:t>
      </w:r>
    </w:p>
    <w:p>
      <w:pPr>
        <w:pStyle w:val="BodyText"/>
        <w:numPr>
          <w:ilvl w:val="0"/>
          <w:numId w:val="3"/>
        </w:numPr>
        <w:rPr/>
      </w:pPr>
      <w:r>
        <w:rPr>
          <w:i/>
          <w:iCs/>
        </w:rPr>
        <w:t>Juridico-normative</w:t>
      </w:r>
      <w:r>
        <w:rPr/>
        <w:t xml:space="preserve"> : normes internes, statuts fondateurs, corpus doctrinaux élaborés par les agents du dispositif. Ce sont les directions juridiques internes, les commissions de rédaction, les cellules de régulation qui les élaborent, avec l’appui de professionnels de terrain.</w:t>
      </w:r>
    </w:p>
    <w:p>
      <w:pPr>
        <w:pStyle w:val="BodyText"/>
        <w:numPr>
          <w:ilvl w:val="0"/>
          <w:numId w:val="3"/>
        </w:numPr>
        <w:rPr/>
      </w:pPr>
      <w:r>
        <w:rPr>
          <w:i/>
          <w:iCs/>
        </w:rPr>
        <w:t>Symbolico-rituelle</w:t>
      </w:r>
      <w:r>
        <w:rPr/>
        <w:t xml:space="preserve"> : gestes d’institution, prestations de serment, cérémonies internes. Ces rituels impliquent des figures humaines précises : maîtres de cérémonie, autorités symboliques, garants de la tradition.</w:t>
      </w:r>
    </w:p>
    <w:p>
      <w:pPr>
        <w:pStyle w:val="BodyText"/>
        <w:numPr>
          <w:ilvl w:val="0"/>
          <w:numId w:val="3"/>
        </w:numPr>
        <w:rPr/>
      </w:pPr>
      <w:r>
        <w:rPr>
          <w:i/>
          <w:iCs/>
        </w:rPr>
        <w:t>Éthique professionnelle</w:t>
      </w:r>
      <w:r>
        <w:rPr/>
        <w:t xml:space="preserve"> : codes de déontologie rédigés par des collèges internes, charte des valeurs débattue en équipe, engagements co-signés. Ici, ce sont les communautés professionnelles, les collectifs de métiers, les cercles de pairs qui en assurent la légitimation.</w:t>
      </w:r>
    </w:p>
    <w:p>
      <w:pPr>
        <w:pStyle w:val="BodyText"/>
        <w:numPr>
          <w:ilvl w:val="0"/>
          <w:numId w:val="3"/>
        </w:numPr>
        <w:rPr/>
      </w:pPr>
      <w:r>
        <w:rPr>
          <w:i/>
          <w:iCs/>
        </w:rPr>
        <w:t>Historico-organisationnelle</w:t>
      </w:r>
      <w:r>
        <w:rPr/>
        <w:t xml:space="preserve"> : récits fondateurs conservés dans des archives, affichés dans les locaux, transmis par les aînés. Ces mythes d’origine, portés par les doyens, les secrétaires généraux, les figures charismatiques internes, stabilisent l’identité collective.</w:t>
      </w:r>
    </w:p>
    <w:p>
      <w:pPr>
        <w:pStyle w:val="BodyText"/>
        <w:numPr>
          <w:ilvl w:val="0"/>
          <w:numId w:val="3"/>
        </w:numPr>
        <w:rPr/>
      </w:pPr>
      <w:r>
        <w:rPr>
          <w:i/>
          <w:iCs/>
        </w:rPr>
        <w:t>Cognitivo-formative</w:t>
      </w:r>
      <w:r>
        <w:rPr/>
        <w:t xml:space="preserve"> : doctrines internes formalisées par des départements de formation ou des cercles de transmission. Il s’agit ici des formateurs internes, des tuteurs, des référents pédagogiques qui assurent la pérennité doctrinale du dispositif.</w:t>
      </w:r>
    </w:p>
    <w:p>
      <w:pPr>
        <w:pStyle w:val="BodyText"/>
        <w:rPr/>
      </w:pPr>
      <w:r>
        <w:rPr/>
        <w:t xml:space="preserve">Ce qui se joue, politiquement, dans cette cartographie incarnée, c’est la capacité d’un collectif à produire ses propres règles de légitimation et à les faire vivre par ses membres. Mais c’est aussi, et surtout, la possibilité de questionner ces règles : </w:t>
      </w:r>
      <w:r>
        <w:rPr>
          <w:i/>
          <w:iCs/>
        </w:rPr>
        <w:t>sont-elles effectives ou simulées ? Portées ou abandonnées ? Sont-elles intégrées par les nouveaux arrivants ? Sont-elles citées en cas de conflit ? Sont-elles mobilisées dans les processus de révision ou de réforme ?</w:t>
      </w:r>
      <w:r>
        <w:rPr/>
        <w:t xml:space="preserve"> Car une </w:t>
      </w:r>
      <w:r>
        <w:rPr>
          <w:i/>
          <w:iCs/>
        </w:rPr>
        <w:t>arcalité</w:t>
      </w:r>
      <w:r>
        <w:rPr/>
        <w:t xml:space="preserve"> n’est pas une substance ; c’est un acte, une scène, un usage.</w:t>
      </w:r>
    </w:p>
    <w:p>
      <w:pPr>
        <w:pStyle w:val="BodyText"/>
        <w:rPr/>
      </w:pPr>
      <w:r>
        <w:rPr/>
        <w:t>Ainsi, un règlement d’ordre intérieur affichant une « charte des valeurs » n’a de force arcale que si celle-ci est mobilisable dans une procédure de recours, évoquée lors d’une saisine, citée dans une délibération. Faute de quoi, elle devient un artefact symbolique décoratif, un simulacre de fondement. Le facteur humain est ici déterminant : sans porteur, pas d’opposabilité ; sans réactivation vivante, pas de légitimation durable. L’analyse archicratique ne peut donc se contenter de repérer des objets formels : elle doit identifier les porteurs humains, les scènes de transmission et les modalités de mobilisation. Elle doit examiner la performativité réelle de l’arcalité interne — sa capacité à agir dans le conflit, à fonder une norme, à structurer une mémoire et à encadrer une cratialité.</w:t>
      </w:r>
    </w:p>
    <w:p>
      <w:pPr>
        <w:pStyle w:val="BodyText"/>
        <w:rPr/>
      </w:pPr>
      <w:r>
        <w:rPr/>
        <w:t>Enfin, l’</w:t>
      </w:r>
      <w:r>
        <w:rPr>
          <w:i/>
          <w:iCs/>
        </w:rPr>
        <w:t>arcalité interne</w:t>
      </w:r>
      <w:r>
        <w:rPr/>
        <w:t xml:space="preserve"> est une position topologique, non une essence. Un même objet peut être </w:t>
      </w:r>
      <w:r>
        <w:rPr>
          <w:i/>
          <w:iCs/>
        </w:rPr>
        <w:t>arcalité interne</w:t>
      </w:r>
      <w:r>
        <w:rPr/>
        <w:t xml:space="preserve"> dans un dispositif — et devenir externe dans un autre contexte. Une charte professionnelle co-écrite par un collectif peut devenir norme externe lorsqu’elle est reprise comme standard par une instance ministérielle. D’où la nécessité d’une vigilance constante : l’interne se construit dans l’usage, dans l’incarnation, dans la revendication d’autonomie, et non dans la seule proximité géographique ou structurelle.</w:t>
      </w:r>
    </w:p>
    <w:p>
      <w:pPr>
        <w:pStyle w:val="BodyText"/>
        <w:rPr/>
      </w:pPr>
      <w:r>
        <w:rPr/>
        <w:t>Cette plasticité, cette mouvance, cette dépendance à des figures concrètes de légitimation, exigent un instrument d’analyse rigoureux. Nous en établirons les premiers jalons dynamiques dans la section 1.4.7 (sur les migrations topologiques), mais il faut d’ores et déjà affirmer ceci : sans portage humain, il n’y a pas d’</w:t>
      </w:r>
      <w:r>
        <w:rPr>
          <w:i/>
          <w:iCs/>
        </w:rPr>
        <w:t>arcalité interne</w:t>
      </w:r>
      <w:r>
        <w:rPr/>
        <w:t xml:space="preserve"> ; sans transmission incarnée, il n’y a que texte mort ; sans usage opposable, il n’y a que vitrine.</w:t>
      </w:r>
    </w:p>
    <w:p>
      <w:pPr>
        <w:pStyle w:val="BodyText"/>
        <w:rPr/>
      </w:pPr>
      <w:r>
        <w:rPr/>
        <w:t>L’</w:t>
      </w:r>
      <w:r>
        <w:rPr>
          <w:i/>
          <w:iCs/>
        </w:rPr>
        <w:t>arcalité interne</w:t>
      </w:r>
      <w:r>
        <w:rPr/>
        <w:t xml:space="preserve"> est ce par quoi un dispositif affirme sa capacité à se fonder par lui-même — dans ses signes, dans sa mémoire, dans ses figures professionnelles, dans ses pratiques rituelles. Mais elle n’est fondatrice que si elle est vécue, disputée et habitée.</w:t>
      </w:r>
    </w:p>
    <w:p>
      <w:pPr>
        <w:pStyle w:val="Heading3"/>
        <w:numPr>
          <w:ilvl w:val="2"/>
          <w:numId w:val="2"/>
        </w:numPr>
        <w:rPr/>
      </w:pPr>
      <w:r>
        <w:rPr/>
        <w:t xml:space="preserve">1.4.2 — </w:t>
      </w:r>
      <w:r>
        <w:rPr>
          <w:i/>
          <w:iCs/>
        </w:rPr>
        <w:t>Arcalités externes</w:t>
      </w:r>
      <w:r>
        <w:rPr/>
        <w:t xml:space="preserve"> : fondements surplombants, légitimités exogènes et figures d’adossement</w:t>
      </w:r>
    </w:p>
    <w:p>
      <w:pPr>
        <w:pStyle w:val="BodyText"/>
        <w:rPr/>
      </w:pPr>
      <w:r>
        <w:rPr/>
        <w:t>Là où les arcalités internes émanent du cœur du dispositif et sont portées par ses membres, ses rites et ses récits, les arcalités externes procèdent d’une autre logique : elles s’imposent, s’importent ou se projettent depuis un ailleurs normatif. Ce sont des principes, normes, récits, doctrines, symboles ou références qui ne trouvent pas leur source dans le champ régulé lui-même, mais à l’extérieur de celui-ci — que cet extérieur soit juridique, scientifique, religieux, moral, civilisationnel, économique ou épistémique. L’</w:t>
      </w:r>
      <w:r>
        <w:rPr>
          <w:i/>
          <w:iCs/>
        </w:rPr>
        <w:t>arcalité externe</w:t>
      </w:r>
      <w:r>
        <w:rPr/>
        <w:t xml:space="preserve"> est donc, d’un point de vue topologique, exogène au dispositif d’application, même si elle peut y être intégrée, traduite ou contestée.</w:t>
      </w:r>
    </w:p>
    <w:p>
      <w:pPr>
        <w:pStyle w:val="BodyText"/>
        <w:rPr/>
      </w:pPr>
      <w:r>
        <w:rPr/>
        <w:t>Historiquement, les arcalités externes ont toujours joué un rôle structurant dans la formation des ordres politiques. Qu’il s’agisse de droits impériaux, de référents religieux, de traités internationaux, de standards scientifiques ou de doctrines économiques globalisées, elles procèdent d’un ailleurs normatif que le dispositif ne produit pas lui-même. Mais cet ailleurs n’agit jamais seul : il doit être relayé, traduit, interprété, parfois contesté, par des acteurs situés.</w:t>
      </w:r>
    </w:p>
    <w:p>
      <w:pPr>
        <w:pStyle w:val="BodyText"/>
        <w:rPr/>
      </w:pPr>
      <w:r>
        <w:rPr/>
        <w:t>Le facteur humain est ici décisif. Diplomates, juristes, experts, formateurs, médiateurs, responsables institutionnels, professionnels de terrain : ce sont eux qui assurent la circulation concrète de l’arcalité externe, et qui conditionnent sa vitalité réelle. Sans ce travail de portage, de traduction et d’activation, le fondement demeure formel, décoratif ou inerte ; avec lui, il devient un principe effectivement régulateur, susceptible aussi d’être discuté dans ses usages et ses effets.</w:t>
      </w:r>
    </w:p>
    <w:p>
      <w:pPr>
        <w:pStyle w:val="BodyText"/>
        <w:rPr/>
      </w:pPr>
      <w:r>
        <w:rPr/>
        <w:t>Les normes sanitaires internationales offrent un exemple éclairant. La Déclaration d’Helsinki sur l’éthique médicale ou les recommandations de l’OMS n’ont d’effet réel qu’à travers leur mobilisation par des médecins hospitaliers, des directions d’établissements, des juristes de la santé ou des formateurs en bioéthique. Ce sont ces figures, au croisement de l’expertise et de l’action, qui assurent l’ancrage — ou, au contraire, l’exclusion — de l’arcalité dans la pratique. De même, les standards comptables IFRS ou les normes ISO sont activés, traduits ou contestés par des acteurs comptables, des auditeurs, des responsables qualité, des représentants syndicaux, ou encore des agents ministériels chargés de leur implémentation.</w:t>
      </w:r>
    </w:p>
    <w:p>
      <w:pPr>
        <w:pStyle w:val="BodyText"/>
        <w:rPr/>
      </w:pPr>
      <w:r>
        <w:rPr/>
        <w:t>Les formes différenciées d’</w:t>
      </w:r>
      <w:r>
        <w:rPr>
          <w:i/>
          <w:iCs/>
        </w:rPr>
        <w:t>arcalités externes</w:t>
      </w:r>
      <w:r>
        <w:rPr/>
        <w:t xml:space="preserve"> peuvent dès lors être cartographiées en fonction de leurs vecteurs d’énonciation et de leurs agents de portage, que l’analyse archicratique doit repérer avec soin :</w:t>
      </w:r>
    </w:p>
    <w:p>
      <w:pPr>
        <w:pStyle w:val="BodyText"/>
        <w:numPr>
          <w:ilvl w:val="0"/>
          <w:numId w:val="3"/>
        </w:numPr>
        <w:rPr/>
      </w:pPr>
      <w:r>
        <w:rPr>
          <w:i/>
          <w:iCs/>
        </w:rPr>
        <w:t>Juridico-supranationales</w:t>
      </w:r>
      <w:r>
        <w:rPr/>
        <w:t xml:space="preserve"> : il s’agit des traités, conventions, accords, pactes et jurisprudences émanant d’institutions supranationales (ex. : CEDH, ONU, OMS, OMC). Ces </w:t>
      </w:r>
      <w:r>
        <w:rPr>
          <w:i/>
          <w:iCs/>
        </w:rPr>
        <w:t>arcalités</w:t>
      </w:r>
      <w:r>
        <w:rPr/>
        <w:t xml:space="preserve"> sont portées localement par des juristes spécialisés, des diplomates, des délégués nationaux, des magistrats de liaison, et parfois même des ONG expertes. Elles créent des ponts — ou des dissonances — entre souverainetés locales et exigences universelles.</w:t>
      </w:r>
    </w:p>
    <w:p>
      <w:pPr>
        <w:pStyle w:val="BodyText"/>
        <w:numPr>
          <w:ilvl w:val="0"/>
          <w:numId w:val="3"/>
        </w:numPr>
        <w:rPr/>
      </w:pPr>
      <w:r>
        <w:rPr>
          <w:i/>
          <w:iCs/>
        </w:rPr>
        <w:t>Scientifico-techniques</w:t>
      </w:r>
      <w:r>
        <w:rPr/>
        <w:t xml:space="preserve"> : ces </w:t>
      </w:r>
      <w:r>
        <w:rPr>
          <w:i/>
          <w:iCs/>
        </w:rPr>
        <w:t>arcalités</w:t>
      </w:r>
      <w:r>
        <w:rPr/>
        <w:t xml:space="preserve"> reposent sur des protocoles internationaux, des grilles de validation scientifique, ou des classifications globalisées (ex. : DSM, critères IPCC, codes de bioéthique, référentiels de bonnes pratiques). Elles sont relayées et stabilisées par des experts sectoriels, des chercheurs reconnus, des comités d’éthique, ou des agences d’évaluation qui assurent leur légitimité technique.</w:t>
      </w:r>
    </w:p>
    <w:p>
      <w:pPr>
        <w:pStyle w:val="BodyText"/>
        <w:numPr>
          <w:ilvl w:val="0"/>
          <w:numId w:val="3"/>
        </w:numPr>
        <w:rPr/>
      </w:pPr>
      <w:r>
        <w:rPr>
          <w:i/>
          <w:iCs/>
        </w:rPr>
        <w:t>Mythico-civilisationnelles</w:t>
      </w:r>
      <w:r>
        <w:rPr/>
        <w:t xml:space="preserve"> : certaines </w:t>
      </w:r>
      <w:r>
        <w:rPr>
          <w:i/>
          <w:iCs/>
        </w:rPr>
        <w:t>arcalités</w:t>
      </w:r>
      <w:r>
        <w:rPr/>
        <w:t xml:space="preserve"> procèdent de récits globalement partagés, tels que les droits de l’homme, le progrès scientifique, la raison universelle ou la démocratie représentative. Ces références sont souvent portées par des intellectuels publics, des corps diplomatiques, des enseignants, des pédagogues ou des figures morales qui les transmettent comme horizon symbolique.</w:t>
      </w:r>
    </w:p>
    <w:p>
      <w:pPr>
        <w:pStyle w:val="BodyText"/>
        <w:numPr>
          <w:ilvl w:val="0"/>
          <w:numId w:val="3"/>
        </w:numPr>
        <w:rPr/>
      </w:pPr>
      <w:r>
        <w:rPr>
          <w:i/>
          <w:iCs/>
        </w:rPr>
        <w:t>Épistémiques</w:t>
      </w:r>
      <w:r>
        <w:rPr/>
        <w:t xml:space="preserve"> : certaines </w:t>
      </w:r>
      <w:r>
        <w:rPr>
          <w:i/>
          <w:iCs/>
        </w:rPr>
        <w:t>arcalités</w:t>
      </w:r>
      <w:r>
        <w:rPr/>
        <w:t xml:space="preserve"> sont véhiculées par des savoirs naturalisés, tels que le management par objectif, l’innovation algorithmique ou la résilience institutionnelle. Ces doctrines circulent via des revues internationales, des </w:t>
      </w:r>
      <w:r>
        <w:rPr>
          <w:i/>
          <w:iCs/>
        </w:rPr>
        <w:t>think tanks</w:t>
      </w:r>
      <w:r>
        <w:rPr/>
        <w:t>, des consultants experts ou des corps intermédiaires intégrés à la régulation (ex. : cabinets de conseil accrédités, laboratoires de gouvernance, réseaux d’experts internationaux).</w:t>
      </w:r>
    </w:p>
    <w:p>
      <w:pPr>
        <w:pStyle w:val="BodyText"/>
        <w:numPr>
          <w:ilvl w:val="0"/>
          <w:numId w:val="3"/>
        </w:numPr>
        <w:rPr/>
      </w:pPr>
      <w:r>
        <w:rPr>
          <w:i/>
          <w:iCs/>
        </w:rPr>
        <w:t>Théologico-politiques</w:t>
      </w:r>
      <w:r>
        <w:rPr/>
        <w:t xml:space="preserve"> : enfin, certaines </w:t>
      </w:r>
      <w:r>
        <w:rPr>
          <w:i/>
          <w:iCs/>
        </w:rPr>
        <w:t>arcalités</w:t>
      </w:r>
      <w:r>
        <w:rPr/>
        <w:t xml:space="preserve"> relèvent d’un ordre religieux ou spirituel transcendant (ex. : droit canon, charia codifiée, prescriptions rabbinique). Elles sont portées par des autorités spirituelles, des juristes religieux, des conseillers confessionnels, ou encore des communautés croyantes qui les revendiquent comme source supérieure d’organisation sociale.</w:t>
      </w:r>
    </w:p>
    <w:p>
      <w:pPr>
        <w:pStyle w:val="BodyText"/>
        <w:rPr/>
      </w:pPr>
      <w:r>
        <w:rPr/>
        <w:t xml:space="preserve">Le statut topologique de ces </w:t>
      </w:r>
      <w:r>
        <w:rPr>
          <w:i/>
          <w:iCs/>
        </w:rPr>
        <w:t>arcalités externes</w:t>
      </w:r>
      <w:r>
        <w:rPr/>
        <w:t xml:space="preserve"> est fondamentalement dynamique. Une norme internationale peut être traduite, adaptée, appropriée — devenant ainsi partiellement internalisée. À l’inverse, un texte voté localement peut fonctionner comme </w:t>
      </w:r>
      <w:r>
        <w:rPr>
          <w:i/>
          <w:iCs/>
        </w:rPr>
        <w:t>arcalité externe</w:t>
      </w:r>
      <w:r>
        <w:rPr/>
        <w:t xml:space="preserve"> s’il est calqué sur des standards importés sans discussion. Le critère de distinction n’est donc pas juridique, mais positionnel : ce qui compte, c’est le lieu d’énonciation, le degré de prise, le mode d’activation, la possibilité de dispute.</w:t>
      </w:r>
    </w:p>
    <w:p>
      <w:pPr>
        <w:pStyle w:val="BodyText"/>
        <w:rPr/>
      </w:pPr>
      <w:r>
        <w:rPr/>
        <w:t xml:space="preserve">En ce sens, l’analyse archicratique exige une vigilance accrue sur les conditions de circulation des </w:t>
      </w:r>
      <w:r>
        <w:rPr>
          <w:i/>
          <w:iCs/>
        </w:rPr>
        <w:t>arcalités externes</w:t>
      </w:r>
      <w:r>
        <w:rPr/>
        <w:t xml:space="preserve">. </w:t>
      </w:r>
      <w:r>
        <w:rPr>
          <w:i/>
          <w:iCs/>
        </w:rPr>
        <w:t>Sont-elles appropriées ou imposées ? Sont-elles traduites ou fétichisées ? Qui les active ? Avec quelle compétence ? Pour quels effets ?</w:t>
      </w:r>
      <w:r>
        <w:rPr/>
        <w:t xml:space="preserve"> Le facteur humain est ici décisif : toute </w:t>
      </w:r>
      <w:r>
        <w:rPr>
          <w:i/>
          <w:iCs/>
        </w:rPr>
        <w:t>arcalité externe</w:t>
      </w:r>
      <w:r>
        <w:rPr/>
        <w:t xml:space="preserve"> passe par un corps social d’activation, de transposition, d’incarnation — ou échoue à le faire, et devient alors un fondement mort, déconnecté, décoratif.</w:t>
      </w:r>
    </w:p>
    <w:p>
      <w:pPr>
        <w:pStyle w:val="BodyText"/>
        <w:rPr/>
      </w:pPr>
      <w:r>
        <w:rPr/>
        <w:t xml:space="preserve">Ainsi, l’inertie d’une </w:t>
      </w:r>
      <w:r>
        <w:rPr>
          <w:i/>
          <w:iCs/>
        </w:rPr>
        <w:t>arcalité externe</w:t>
      </w:r>
      <w:r>
        <w:rPr/>
        <w:t xml:space="preserve"> n’est pas seulement un échec technique ou politique : c’est le symptôme d’une absence de portage humain effectif. À l’inverse, sa puissance régulatrice dépend de sa capacité à être habitée, interprétée, mobilisée, par des professionnels, des agents publics, des collectifs intermédiaires ou des figures institutionnelles. Il y a une condition anthropologique de l’</w:t>
      </w:r>
      <w:r>
        <w:rPr>
          <w:i/>
          <w:iCs/>
        </w:rPr>
        <w:t>arcalité</w:t>
      </w:r>
      <w:r>
        <w:rPr/>
        <w:t xml:space="preserve"> : sans corps vivant, pas de fondement durable.</w:t>
      </w:r>
    </w:p>
    <w:p>
      <w:pPr>
        <w:pStyle w:val="BodyText"/>
        <w:rPr/>
      </w:pPr>
      <w:r>
        <w:rPr/>
        <w:t>Lorsque ces fondements exogènes sont naturalisés, dépolitisés ou rendus difficilement contestables, ils deviennent des vecteurs privilégiés de dérives autarchicratiques ou archicratistiques : leur autorité prétendue neutre masque l’impossibilité pratique de les discuter, de les traduire ou de les opposer. Ce n’est pas leur contenu qui pose problème, mais leur mode d’énonciation : lorsque la scène de justification est neutralisée, lorsque les délais de médiation sont comprimés ou rendus fictifs, lorsque les dispositifs de traduction deviennent inopérants, ces arcalités tendent à devenir des injonctions performatives opaques.</w:t>
      </w:r>
    </w:p>
    <w:p>
      <w:pPr>
        <w:pStyle w:val="BodyText"/>
        <w:rPr/>
      </w:pPr>
      <w:r>
        <w:rPr/>
        <w:t xml:space="preserve">C’est pourquoi le paradigme archicratique impose une exigence méthodologique claire : documenter le statut, le portage, l’activation et la contestation des </w:t>
      </w:r>
      <w:r>
        <w:rPr>
          <w:i/>
          <w:iCs/>
        </w:rPr>
        <w:t>arcalités externes</w:t>
      </w:r>
      <w:r>
        <w:rPr/>
        <w:t xml:space="preserve">. </w:t>
      </w:r>
      <w:r>
        <w:rPr>
          <w:i/>
          <w:iCs/>
        </w:rPr>
        <w:t>Qui les invoque ? Qui les traduit ? Qui les fait vivre ? Sont-elles révisables ? Opposables ? Intégrées dans une scène ou dissoutes dans le dogme ?</w:t>
      </w:r>
      <w:r>
        <w:rPr/>
        <w:t xml:space="preserve"> La critique archicratique ne vise pas à disqualifier l’externe, mais à rendre visibles ses conditions d’incarnation.</w:t>
      </w:r>
    </w:p>
    <w:p>
      <w:pPr>
        <w:pStyle w:val="BodyText"/>
        <w:rPr/>
      </w:pPr>
      <w:r>
        <w:rPr/>
        <w:t xml:space="preserve">Une </w:t>
      </w:r>
      <w:r>
        <w:rPr>
          <w:i/>
          <w:iCs/>
        </w:rPr>
        <w:t>arcalité externe</w:t>
      </w:r>
      <w:r>
        <w:rPr/>
        <w:t xml:space="preserve"> bien internalisée, portée par une communauté compétente, disputée dans ses effets, rendue visible dans ses limites, peut renforcer un ordre démocratique. Mais une </w:t>
      </w:r>
      <w:r>
        <w:rPr>
          <w:i/>
          <w:iCs/>
        </w:rPr>
        <w:t>arcalité</w:t>
      </w:r>
      <w:r>
        <w:rPr/>
        <w:t xml:space="preserve"> exogène désincarnée, mimée, figée, peut devenir le vecteur sourd d’un pouvoir à scène neutralisée, relocalisée hors d’atteinte ou rendue pratiquement inopérante. Le facteur humain, ici encore, est la clef de l’</w:t>
      </w:r>
      <w:r>
        <w:rPr>
          <w:i/>
          <w:iCs/>
        </w:rPr>
        <w:t>arcalité vivante</w:t>
      </w:r>
      <w:r>
        <w:rPr/>
        <w:t>.</w:t>
      </w:r>
    </w:p>
    <w:p>
      <w:pPr>
        <w:pStyle w:val="Heading3"/>
        <w:numPr>
          <w:ilvl w:val="2"/>
          <w:numId w:val="2"/>
        </w:numPr>
        <w:rPr/>
      </w:pPr>
      <w:r>
        <w:rPr/>
        <w:t xml:space="preserve">1.4.3 — </w:t>
      </w:r>
      <w:r>
        <w:rPr>
          <w:i/>
          <w:iCs/>
        </w:rPr>
        <w:t>Cratialités internes</w:t>
      </w:r>
      <w:r>
        <w:rPr/>
        <w:t xml:space="preserve"> : opérativité endogène, chaînes d’exécution incarnées et pouvoir discret sans extériorité</w:t>
      </w:r>
    </w:p>
    <w:p>
      <w:pPr>
        <w:pStyle w:val="BodyText"/>
        <w:rPr/>
      </w:pPr>
      <w:r>
        <w:rPr/>
        <w:t xml:space="preserve">La </w:t>
      </w:r>
      <w:r>
        <w:rPr>
          <w:i/>
          <w:iCs/>
        </w:rPr>
        <w:t>cratialité interne</w:t>
      </w:r>
      <w:r>
        <w:rPr/>
        <w:t xml:space="preserve"> constitue l’un des points névralgiques du paradigme archicratique. Elle ne se résume ni à l’action technique, ni à la simple application de normes venues d’ailleurs. Elle désigne la capacité d’un dispositif régulateur à produire lui-même, depuis l’intérieur, sa propre puissance opératoire, sans mobiliser explicitement une légitimation transcendante, et avec une scène d’épreuve devenue marginale, reléguée à l’arrière-plan ou pratiquement inopérante dans le cours ordinaire de l’exécution. En ce sens, l’interne n’est pas un dedans organique, mais une position topologique de clôture opératoire : là où la régulation tend à se suffire à elle-même, là où l’ordre d’exécution s’impose par l’inertie du dispositif, et là où le pouvoir agit comme s’il n’avait plus à se dire, à se justifier ni à se laisser reprendre.</w:t>
      </w:r>
    </w:p>
    <w:p>
      <w:pPr>
        <w:pStyle w:val="BodyText"/>
        <w:rPr/>
      </w:pPr>
      <w:r>
        <w:rPr/>
        <w:t>Ce qui distingue fondamentalement la cratialité interne, c’est son auto-suffisance apparente. Elle repose sur la densité cumulative des routines, des instruments, des protocoles, des langages, des procédures et — point décisif — des humains qui les activent, les maintiennent et les modulent. Car la cratialité interne n’est jamais une abstraction systémique désincarnée. Elle est portée par des agents, des métiers et des savoir-faire qui donnent forme, corps et continuité à l’action régulatrice. Elle est faite de gestes, de réflexes, de scripts mentaux, de hiérarchies tacites et de cultures professionnelles. En somme, elle est le produit vivant de celles et ceux qui opèrent.</w:t>
      </w:r>
    </w:p>
    <w:p>
      <w:pPr>
        <w:pStyle w:val="BodyText"/>
        <w:rPr/>
      </w:pPr>
      <w:r>
        <w:rPr/>
        <w:t xml:space="preserve">Les figures humaines centrales de la </w:t>
      </w:r>
      <w:r>
        <w:rPr>
          <w:i/>
          <w:iCs/>
        </w:rPr>
        <w:t>cratialité interne</w:t>
      </w:r>
      <w:r>
        <w:rPr/>
        <w:t xml:space="preserve"> ne sont pas nécessairement visibles. Ce ne sont pas les gouvernants, les élus, les grands décisionnaires. Ce sont les cadres intermédiaires, les agents de contrôle, les gestionnaires de dossier, les chefs de service, les responsables de flux, les référents qualité, les techniciens de </w:t>
      </w:r>
      <w:r>
        <w:rPr>
          <w:i/>
          <w:iCs/>
        </w:rPr>
        <w:t>back-office</w:t>
      </w:r>
      <w:r>
        <w:rPr/>
        <w:t>, les ingénieurs système, les analystes financiers, les secrétaires d’instruction, les coordonnateurs logistiques, les rédacteurs de procédures. Ce sont eux qui assurent le maintien opérationnel des chaînes de décision et d’exécution, sans qu’une instance politique explicite ait besoin d’intervenir. En cela, ils incarnent une forme de pouvoir discret, souvent invisible, mais absolument décisif.</w:t>
      </w:r>
    </w:p>
    <w:p>
      <w:pPr>
        <w:pStyle w:val="BodyText"/>
        <w:rPr/>
      </w:pPr>
      <w:r>
        <w:rPr/>
        <w:t xml:space="preserve">Historiquement, cette montée en puissance de la </w:t>
      </w:r>
      <w:r>
        <w:rPr>
          <w:i/>
          <w:iCs/>
        </w:rPr>
        <w:t>cratialité interne</w:t>
      </w:r>
      <w:r>
        <w:rPr/>
        <w:t xml:space="preserve"> est inséparable de la bureaucratisation rationalisée (Weber), du fonctionnalisme administratif (Crozier), et plus récemment, de la numérisation intégrale des régulations. Les systèmes informatiques de gestion, les progiciels de suivi, les tableaux de bord automatisés, les chaînes logistiques, les plateformes internes de décision, ont progressivement capturé les lieux où se joue la régulation concrète. Mais ce ne sont pas ces outils en eux-mêmes qui détiennent le pouvoir : c’est la manière dont ils sont habités, objets de routines, agencés, par des professionnels spécialisés — dont les gestes techniques se sont, peu à peu, substitués à la délibération explicite.</w:t>
      </w:r>
    </w:p>
    <w:p>
      <w:pPr>
        <w:pStyle w:val="BodyText"/>
        <w:rPr/>
      </w:pPr>
      <w:r>
        <w:rPr/>
        <w:t>Il est alors possible de distinguer, à titre opératoire, plusieurs formes de cratialité interne, selon les vecteurs d’action qu’elles mobilisent et les compétences humaines qu’elles requièrent :</w:t>
      </w:r>
    </w:p>
    <w:p>
      <w:pPr>
        <w:pStyle w:val="BodyText"/>
        <w:numPr>
          <w:ilvl w:val="0"/>
          <w:numId w:val="3"/>
        </w:numPr>
        <w:rPr/>
      </w:pPr>
      <w:r>
        <w:rPr>
          <w:b/>
          <w:bCs/>
        </w:rPr>
        <w:t>Procédurales</w:t>
      </w:r>
      <w:r>
        <w:rPr/>
        <w:t xml:space="preserve"> : chaînes d’instruction, logiques hiérarchiques, processus standards, checklists, référentiels qualité — incarnées par gestionnaires, cadres, chefs de projet, instructeurs de dossier, ceux qui assurent la régularité des opérations.</w:t>
      </w:r>
    </w:p>
    <w:p>
      <w:pPr>
        <w:pStyle w:val="BodyText"/>
        <w:numPr>
          <w:ilvl w:val="0"/>
          <w:numId w:val="3"/>
        </w:numPr>
        <w:rPr/>
      </w:pPr>
      <w:r>
        <w:rPr>
          <w:b/>
          <w:bCs/>
        </w:rPr>
        <w:t>Infrastructurelles</w:t>
      </w:r>
      <w:r>
        <w:rPr/>
        <w:t xml:space="preserve"> : réseaux techniques, bâtiments, salles de serveurs, bases de données locales, outils physiques — entretenus par techniciens, agents de maintenance, ingénieurs système, logisticiens, qui garantissent la continuité matérielle de la régulation.</w:t>
      </w:r>
    </w:p>
    <w:p>
      <w:pPr>
        <w:pStyle w:val="BodyText"/>
        <w:numPr>
          <w:ilvl w:val="0"/>
          <w:numId w:val="3"/>
        </w:numPr>
        <w:rPr/>
      </w:pPr>
      <w:r>
        <w:rPr>
          <w:b/>
          <w:bCs/>
        </w:rPr>
        <w:t>Algorithmico-fonctionnelles</w:t>
      </w:r>
      <w:r>
        <w:rPr/>
        <w:t xml:space="preserve"> : logiciels propriétaires, plateformes internes, interfaces de validation, moteurs de workflow — configurés et opérés par développeurs, analystes métiers, gestionnaires applicatifs, qui déterminent en pratique les possibilités d’action.</w:t>
      </w:r>
    </w:p>
    <w:p>
      <w:pPr>
        <w:pStyle w:val="BodyText"/>
        <w:numPr>
          <w:ilvl w:val="0"/>
          <w:numId w:val="3"/>
        </w:numPr>
        <w:rPr/>
      </w:pPr>
      <w:r>
        <w:rPr>
          <w:b/>
          <w:bCs/>
        </w:rPr>
        <w:t>Cognitivo-organisationnelles</w:t>
      </w:r>
      <w:r>
        <w:rPr/>
        <w:t xml:space="preserve"> : division des tâches, routines professionnelles, scripts mentaux — savoir-faire incorporés, tours de main, automatismes partagés, qui rendent l’action fluide sans être toujours formalisée.</w:t>
      </w:r>
    </w:p>
    <w:p>
      <w:pPr>
        <w:pStyle w:val="BodyText"/>
        <w:numPr>
          <w:ilvl w:val="0"/>
          <w:numId w:val="3"/>
        </w:numPr>
        <w:rPr/>
      </w:pPr>
      <w:r>
        <w:rPr>
          <w:b/>
          <w:bCs/>
        </w:rPr>
        <w:t>Langagières et discursives</w:t>
      </w:r>
      <w:r>
        <w:rPr/>
        <w:t xml:space="preserve"> : jargons techniques, syntaxes normalisées, grilles d’expression — maîtrisés par rédacteurs, formateurs, communicants, traducteurs techniques, qui donnent forme intelligible à la régulation.</w:t>
      </w:r>
    </w:p>
    <w:p>
      <w:pPr>
        <w:pStyle w:val="BodyText"/>
        <w:rPr/>
      </w:pPr>
      <w:r>
        <w:rPr/>
        <w:t>Ce qui fait la puissance silencieuse de cette cratialité interne, c’est qu’elle peut fonctionner comme si elle n’avait plus à répondre explicitement de ses justifications, et comme si la scène d’épreuve n’avait plus de prise effective sur son cours ordinaire. Tout semble déjà cadré, validé, formaté ; la régulation s’effectue dans la continuité des procédures, des outils et des gestes professionnels qui la portent. Elle n’est pas absolument sans arcalité ni sans archicration, mais celles-ci deviennent peu exposables, reléguées à l’arrière-plan, ou pratiquement inopérantes dans le cours ordinaire de l’exécution.</w:t>
      </w:r>
    </w:p>
    <w:p>
      <w:pPr>
        <w:pStyle w:val="BodyText"/>
        <w:rPr/>
      </w:pPr>
      <w:r>
        <w:rPr/>
        <w:t>C’est précisément cette fluidité sans extériorité qui devient politiquement problématique. Il n’y a plus de scène clairement praticable où s’adresser, plus de temporalité suffisante pour l’amendement, plus de responsabilité immédiatement localisable. Ce n’est pas ici l’illégalité qui domine, mais la fermeture autoréférentielle : le dispositif fonctionne, donc il se dispense de s’expliquer.</w:t>
      </w:r>
    </w:p>
    <w:p>
      <w:pPr>
        <w:pStyle w:val="BodyText"/>
        <w:rPr/>
      </w:pPr>
      <w:r>
        <w:rPr/>
        <w:t>Dans ses formes les plus avancées, cette cratialité interne tend à absorber le délibératif, le politique et le symbolique dans la logique même de l’exécution. L’interface remplace la réunion, le geste de validation remplace la justification, et la décision se trouve redistribuée dans des circuits scriptés, normés, régulés — par des humains qui n’en sont pas toujours les auteurs explicites, mais qui en assurent l’activation quotidienne.</w:t>
      </w:r>
    </w:p>
    <w:p>
      <w:pPr>
        <w:pStyle w:val="BodyText"/>
        <w:rPr/>
      </w:pPr>
      <w:r>
        <w:rPr/>
        <w:t>Ce n’est ni une dictature au sens classique, ni un simple abus de pouvoir. C’est un excès d’opérativité, une saturation de l’exécution, une extinction du différé. L’acte est effectué parce que le système est conçu pour cela, et parce qu’un agent, quelque part, l’a validé, routé ou exécuté sans avoir à en reprendre explicitement la pertinence.</w:t>
      </w:r>
    </w:p>
    <w:p>
      <w:pPr>
        <w:pStyle w:val="BodyText"/>
        <w:rPr/>
      </w:pPr>
      <w:r>
        <w:rPr/>
        <w:t>Face à cela, l’analyse archicratique doit entrer dans l’épaisseur des actes, des routines, des formats, des langages, des outils et des métiers. Car c’est dans ces gestes distribués, dans ces validations discrètes et dans ces corps professionnels spécialisés que se joue désormais une large part de la régulation politique contemporaine. La cratialité interne n’est pas une mécanique abstraite : elle est une matrice incarnée, à la fois matérielle et humaine, dont la puissance tient à ce qu’elle fait tenir l’ordre sans apparaître d’emblée comme pouvoir.</w:t>
      </w:r>
    </w:p>
    <w:p>
      <w:pPr>
        <w:pStyle w:val="Heading3"/>
        <w:numPr>
          <w:ilvl w:val="2"/>
          <w:numId w:val="2"/>
        </w:numPr>
        <w:rPr/>
      </w:pPr>
      <w:r>
        <w:rPr/>
        <w:t xml:space="preserve">1.4.4 — </w:t>
      </w:r>
      <w:r>
        <w:rPr>
          <w:i/>
          <w:iCs/>
        </w:rPr>
        <w:t>Cratialités externes</w:t>
      </w:r>
      <w:r>
        <w:rPr/>
        <w:t xml:space="preserve"> : dépendances encodées, transferts d’opérativité et chaînes humaines déterritorialisées</w:t>
      </w:r>
    </w:p>
    <w:p>
      <w:pPr>
        <w:pStyle w:val="BodyText"/>
        <w:rPr/>
      </w:pPr>
      <w:r>
        <w:rPr/>
        <w:t xml:space="preserve">Si la </w:t>
      </w:r>
      <w:r>
        <w:rPr>
          <w:i/>
          <w:iCs/>
        </w:rPr>
        <w:t>cratialité interne</w:t>
      </w:r>
      <w:r>
        <w:rPr/>
        <w:t xml:space="preserve"> décrit l’opérativité immanente, auto-structurée et incarnée dans les circuits de gestion, les routines professionnelles et les savoir-faire endogènes d’un dispositif régulateur, la </w:t>
      </w:r>
      <w:r>
        <w:rPr>
          <w:i/>
          <w:iCs/>
        </w:rPr>
        <w:t>cratialité externe</w:t>
      </w:r>
      <w:r>
        <w:rPr/>
        <w:t xml:space="preserve"> désigne quant à elle une tout autre configuration : celle d’une puissance d’action déléguée, importée ou imposée depuis l’extérieur, mais activée en tant que levier effectif de transformation du réel à l’intérieur même du dispositif. Cette puissance est d’autant plus efficace qu’elle circule à bas bruit, dans les interstices du droit, dans les coulisses du pilotage, dans les interfaces contractuelles, dans les standards techniques. Mais elle est tout sauf abstraite : elle est portée, codée, rendue opératoire par des humains bien réels, agents de la régulation déterritorialisée.</w:t>
      </w:r>
    </w:p>
    <w:p>
      <w:pPr>
        <w:pStyle w:val="BodyText"/>
        <w:rPr/>
      </w:pPr>
      <w:r>
        <w:rPr/>
        <w:t>Historiquement, la cratialité externe s’inscrit dans une longue tradition de délégation, d’externalisation et de transfert d’opérativité. Mais ce qui en fait aujourd’hui une configuration politiquement décisive, ce n’est pas seulement son ancienneté : c’est que des instruments, des normes, des procédures et des architectures techniques conçus ailleurs viennent désormais structurer, de l’intérieur, ce qu’un dispositif peut effectivement faire.</w:t>
      </w:r>
    </w:p>
    <w:p>
      <w:pPr>
        <w:pStyle w:val="BodyText"/>
        <w:rPr/>
      </w:pPr>
      <w:r>
        <w:rPr/>
        <w:t>Dans le contexte contemporain, cette extériorisation de l’opérativité prend des formes multiples : logiciels de gestion conçus par des entreprises privées, plateformes d’allocation, dispositifs de notation, référentiels d’audit, protocoles d’évaluation, systèmes automatisés de reporting. Ces instruments ne sont pas produits par l’institution elle-même, mais ils s’intègrent à ses chaînes opératoires au point d’en reconfigurer les capacités effectives d’action, de décision et de priorisation.</w:t>
      </w:r>
    </w:p>
    <w:p>
      <w:pPr>
        <w:pStyle w:val="BodyText"/>
        <w:rPr/>
      </w:pPr>
      <w:r>
        <w:rPr/>
        <w:t>Cette régulation par instruments exogènes repose en outre sur des porteurs humains spécifiques, que l’analyse archicratique ne peut pas laisser dans l’ombre : consultants, intégrateurs de solutions numériques, responsables d’implémentation, auditeurs, experts en conformité, juristes contractuels, chefs de projet transversaux, évaluateurs mandatés. La cratialité externe n’est donc pas un pouvoir abstrait ; c’est une opérativité déterritorialisée, mais incarnée, qui agit moins par commandement visible que par paramétrage, intégration, cadrage et obligation d’exécution.</w:t>
      </w:r>
    </w:p>
    <w:p>
      <w:pPr>
        <w:pStyle w:val="BodyText"/>
        <w:rPr/>
      </w:pPr>
      <w:r>
        <w:rPr/>
        <w:t xml:space="preserve">On peut distinguer plusieurs formes typologiques de </w:t>
      </w:r>
      <w:r>
        <w:rPr>
          <w:i/>
          <w:iCs/>
        </w:rPr>
        <w:t>cratialité externe</w:t>
      </w:r>
      <w:r>
        <w:rPr/>
        <w:t>, selon les vecteurs d’opérativité mobilisés, et selon les figures humaines associées :</w:t>
      </w:r>
    </w:p>
    <w:p>
      <w:pPr>
        <w:pStyle w:val="BodyText"/>
        <w:numPr>
          <w:ilvl w:val="0"/>
          <w:numId w:val="3"/>
        </w:numPr>
        <w:rPr/>
      </w:pPr>
      <w:r>
        <w:rPr>
          <w:i/>
          <w:iCs/>
        </w:rPr>
        <w:t>Technologique</w:t>
      </w:r>
      <w:r>
        <w:rPr/>
        <w:t xml:space="preserve"> : logiciels, API, architectures SaaS, serveurs distants, systèmes de </w:t>
      </w:r>
      <w:r>
        <w:rPr>
          <w:i/>
          <w:iCs/>
        </w:rPr>
        <w:t>machine learning</w:t>
      </w:r>
      <w:r>
        <w:rPr/>
        <w:t xml:space="preserve">. Ces instruments sont développés, calibrés, ajustés par des équipes de développeurs, de chefs de produit, de </w:t>
      </w:r>
      <w:r>
        <w:rPr>
          <w:i/>
          <w:iCs/>
        </w:rPr>
        <w:t>data scientists</w:t>
      </w:r>
      <w:r>
        <w:rPr/>
        <w:t xml:space="preserve"> travaillant à distance du dispositif régulé, mais impactant directement sa capacité à décider, à prioriser, à exécuter.</w:t>
      </w:r>
    </w:p>
    <w:p>
      <w:pPr>
        <w:pStyle w:val="BodyText"/>
        <w:numPr>
          <w:ilvl w:val="0"/>
          <w:numId w:val="3"/>
        </w:numPr>
        <w:rPr/>
      </w:pPr>
      <w:r>
        <w:rPr>
          <w:i/>
          <w:iCs/>
        </w:rPr>
        <w:t>Juridico-contractuelle</w:t>
      </w:r>
      <w:r>
        <w:rPr/>
        <w:t xml:space="preserve"> : clauses de marché public, obligations de résultat, indicateurs contractuellement imposés. Ici, le pouvoir opératoire réside dans les mains des juristes de cabinets spécialisés, </w:t>
      </w:r>
      <w:r>
        <w:rPr>
          <w:i/>
          <w:iCs/>
        </w:rPr>
        <w:t>contract managers</w:t>
      </w:r>
      <w:r>
        <w:rPr/>
        <w:t>, acheteurs publics, qui conçoivent les termes d’une régulation par contrat, où l’exécution devient une obligation pré-formatée.</w:t>
      </w:r>
    </w:p>
    <w:p>
      <w:pPr>
        <w:pStyle w:val="BodyText"/>
        <w:numPr>
          <w:ilvl w:val="0"/>
          <w:numId w:val="3"/>
        </w:numPr>
        <w:rPr/>
      </w:pPr>
      <w:r>
        <w:rPr>
          <w:i/>
          <w:iCs/>
        </w:rPr>
        <w:t>Normative</w:t>
      </w:r>
      <w:r>
        <w:rPr/>
        <w:t xml:space="preserve"> : adoption de référentiels techniques, d’indicateurs de qualité, de standards ISO. Ces normes sont souvent diffusées par des auditeurs externes, organismes certificateurs, experts métier qui, sans lien hiérarchique avec le dispositif régulé, déterminent pourtant les critères de sa conformité et de son efficience.</w:t>
      </w:r>
    </w:p>
    <w:p>
      <w:pPr>
        <w:pStyle w:val="BodyText"/>
        <w:numPr>
          <w:ilvl w:val="0"/>
          <w:numId w:val="3"/>
        </w:numPr>
        <w:rPr/>
      </w:pPr>
      <w:r>
        <w:rPr>
          <w:i/>
          <w:iCs/>
        </w:rPr>
        <w:t>Financière</w:t>
      </w:r>
      <w:r>
        <w:rPr/>
        <w:t xml:space="preserve"> : </w:t>
      </w:r>
      <w:r>
        <w:rPr>
          <w:i/>
          <w:iCs/>
        </w:rPr>
        <w:t>cratialité</w:t>
      </w:r>
      <w:r>
        <w:rPr/>
        <w:t xml:space="preserve"> exercée par les financeurs — banques multilatérales, agences de financement, investisseurs conditionnels. Ce sont les chargés de mission, les experts en évaluation financière, les gestionnaires de portefeuille qui fixent les conditionnalités d’action, souvent en dehors de toute scène publique de justification.</w:t>
      </w:r>
    </w:p>
    <w:p>
      <w:pPr>
        <w:pStyle w:val="BodyText"/>
        <w:numPr>
          <w:ilvl w:val="0"/>
          <w:numId w:val="3"/>
        </w:numPr>
        <w:rPr/>
      </w:pPr>
      <w:r>
        <w:rPr>
          <w:i/>
          <w:iCs/>
        </w:rPr>
        <w:t>Organisationnelle</w:t>
      </w:r>
      <w:r>
        <w:rPr/>
        <w:t xml:space="preserve"> : influence d’agences de conseil, de </w:t>
      </w:r>
      <w:r>
        <w:rPr>
          <w:i/>
          <w:iCs/>
        </w:rPr>
        <w:t>think tanks</w:t>
      </w:r>
      <w:r>
        <w:rPr/>
        <w:t>, de cabinets en stratégie sur l’ingénierie organisationnelle des institutions publiques. Ici, ce sont les consultants en transformation, les designers de politiques publiques, les architectes de “réforme” qui pilotent le réel sans y apparaître comme autorités visibles.</w:t>
      </w:r>
    </w:p>
    <w:p>
      <w:pPr>
        <w:pStyle w:val="BodyText"/>
        <w:rPr/>
      </w:pPr>
      <w:r>
        <w:rPr/>
        <w:t>Ces acteurs opèrent la plupart du temps sous couvert d’assistance technique. Leur rôle est d’« aider à mieux faire », d’« optimiser les ressources », de « moderniser la gestion », de « rationaliser les coûts ». Mais cette rhétorique techniciste masque souvent une reconfiguration profonde du pouvoir décisionnel, où le cœur de l’opérativité glisse du politique vers l’ingénierie, du jugement vers la métrique, du débat vers le tableau de bord.</w:t>
      </w:r>
    </w:p>
    <w:p>
      <w:pPr>
        <w:pStyle w:val="BodyText"/>
        <w:rPr/>
      </w:pPr>
      <w:r>
        <w:rPr/>
        <w:t>Et surtout, cette délégation opère sans retour critique systématique. Car ces figures humaines ne relèvent ni du suffrage, ni du débat contradictoire, ni de la responsabilité institutionnelle directe. Elles sont contractualisées mais inamovibles, mandatées mais inaccessibles, présentes mais insaisissables dans le champ de la contestation politique.</w:t>
      </w:r>
    </w:p>
    <w:p>
      <w:pPr>
        <w:pStyle w:val="BodyText"/>
        <w:rPr/>
      </w:pPr>
      <w:r>
        <w:rPr/>
        <w:t xml:space="preserve">C’est pourquoi tout diagnostic archicratique sérieux doit documenter ces </w:t>
      </w:r>
      <w:r>
        <w:rPr>
          <w:i/>
          <w:iCs/>
        </w:rPr>
        <w:t>cratialités externes</w:t>
      </w:r>
      <w:r>
        <w:rPr/>
        <w:t xml:space="preserve"> dans leur articulation humaine. Il ne suffit pas de dire qu’un logiciel est utilisé, qu’un standard est appliqué, qu’un cabinet a été mandaté. Il faut nommer les opérateurs, cartographier les chaînes de délégation, remonter les conditions d’élaboration des paramètres, tracer les circuits de validation, identifier les espaces de décision véritable.</w:t>
      </w:r>
    </w:p>
    <w:p>
      <w:pPr>
        <w:pStyle w:val="BodyText"/>
        <w:rPr/>
      </w:pPr>
      <w:r>
        <w:rPr/>
        <w:t>La vulnérabilité archicratique se joue alors dans l’impossibilité de reprendre la main sur ces instruments : quand le personnel interne ne peut pas modifier un algorithme, contester un référentiel, réécrire une clause contractuelle, redéfinir une grille d’évaluation, nous ne sommes plus dans la co-opérativité, mais dans la captation de l’action par extériorité. Non pas un pouvoir visible et contestable, mais une forme d’</w:t>
      </w:r>
      <w:r>
        <w:rPr>
          <w:i/>
          <w:iCs/>
        </w:rPr>
        <w:t>imperium</w:t>
      </w:r>
      <w:r>
        <w:rPr/>
        <w:t xml:space="preserve"> discret, camouflé sous les traits de l’aide ou du progrès.</w:t>
      </w:r>
    </w:p>
    <w:p>
      <w:pPr>
        <w:pStyle w:val="BodyText"/>
        <w:rPr/>
      </w:pPr>
      <w:r>
        <w:rPr/>
        <w:t xml:space="preserve">L’enjeu, alors, n’est pas d’éliminer la </w:t>
      </w:r>
      <w:r>
        <w:rPr>
          <w:i/>
          <w:iCs/>
        </w:rPr>
        <w:t>cratialité externe</w:t>
      </w:r>
      <w:r>
        <w:rPr/>
        <w:t>, mais de la rendre contestable, traçable, amendable. Car ce qui fait la force — ou la dérive — d’un système régulateur, ce n’est pas seulement ce qu’il fait, mais comment il l’a décidé, et avec qui. Le facteur humain, dans les cratialités externes, est donc la clef oubliée de toute reprise démocratique du pilotage. Il est le point d’entrée de toute reprise politique sur les instruments devenus autonomes, et sur les décisions sans auteur identifié.</w:t>
      </w:r>
    </w:p>
    <w:p>
      <w:pPr>
        <w:pStyle w:val="Heading3"/>
        <w:numPr>
          <w:ilvl w:val="2"/>
          <w:numId w:val="2"/>
        </w:numPr>
        <w:rPr/>
      </w:pPr>
      <w:r>
        <w:rPr/>
        <w:t xml:space="preserve">1.4.5 — </w:t>
      </w:r>
      <w:r>
        <w:rPr>
          <w:i/>
          <w:iCs/>
        </w:rPr>
        <w:t>Archicrations internes</w:t>
      </w:r>
      <w:r>
        <w:rPr/>
        <w:t xml:space="preserve"> : scènes d’épreuve encastrées, contre-pouvoirs situés et régulations instituées</w:t>
      </w:r>
    </w:p>
    <w:p>
      <w:pPr>
        <w:pStyle w:val="BodyText"/>
        <w:rPr/>
      </w:pPr>
      <w:r>
        <w:rPr/>
        <w:t>L’archicration interne désigne l’ensemble des mécanismes, instances, fonctions ou scènes qui permettent à un dispositif de s’auto-exposer à la critique, de s’interroger depuis l’intérieur, et de produire de l’ajustement, du ralentissement ou de la contradiction sans attendre l’intervention d’une autorité externe. Elle ne relève ni du débat public général ni de la contestation extérieure, mais d’une épreuve organisée en régime endogène : dans le cadre du dispositif lui-même, avec ses propres moyens, ses propres délais et ses propres acteurs. En cela, elle constitue une forme précieuse — et politiquement décisive — de régulation réflexive interne, sans laquelle aucune régulation ne peut durablement maintenir sa cohérence, son adaptabilité ni sa légitimité.</w:t>
      </w:r>
    </w:p>
    <w:p>
      <w:pPr>
        <w:pStyle w:val="BodyText"/>
        <w:rPr/>
      </w:pPr>
      <w:r>
        <w:rPr/>
        <w:t>Mais il faut immédiatement clarifier une chose : l’</w:t>
      </w:r>
      <w:r>
        <w:rPr>
          <w:i/>
          <w:iCs/>
        </w:rPr>
        <w:t>archicration interne</w:t>
      </w:r>
      <w:r>
        <w:rPr/>
        <w:t xml:space="preserve"> n’est pas un ornement démocratique, ni une variable cosmétique destinée à rassurer des observateurs extérieurs. Elle est une exigence structurelle. Elle est ce qui empêche un dispositif de devenir son propre absolu, ce qui rappelle à l’ordre toute opérativité autoréférentielle, ce qui ouvre une scène à la pluralité, au différé, à l’inattendu. Là où l’a</w:t>
      </w:r>
      <w:r>
        <w:rPr>
          <w:i/>
          <w:iCs/>
        </w:rPr>
        <w:t>rcalité</w:t>
      </w:r>
      <w:r>
        <w:rPr/>
        <w:t xml:space="preserve"> fonde, là où la </w:t>
      </w:r>
      <w:r>
        <w:rPr>
          <w:i/>
          <w:iCs/>
        </w:rPr>
        <w:t>cratialité</w:t>
      </w:r>
      <w:r>
        <w:rPr/>
        <w:t xml:space="preserve"> opère, l’</w:t>
      </w:r>
      <w:r>
        <w:rPr>
          <w:i/>
          <w:iCs/>
        </w:rPr>
        <w:t>archicration interne</w:t>
      </w:r>
      <w:r>
        <w:rPr/>
        <w:t xml:space="preserve"> ajuste, interroge, entrave et recompose.</w:t>
      </w:r>
    </w:p>
    <w:p>
      <w:pPr>
        <w:pStyle w:val="BodyText"/>
        <w:rPr/>
      </w:pPr>
      <w:r>
        <w:rPr/>
        <w:t xml:space="preserve">Pour qu’il y ait </w:t>
      </w:r>
      <w:r>
        <w:rPr>
          <w:i/>
          <w:iCs/>
        </w:rPr>
        <w:t>archicration interne</w:t>
      </w:r>
      <w:r>
        <w:rPr/>
        <w:t xml:space="preserve"> effective, plusieurs conditions doivent être réunies : il faut une scène instituée, des temporalités différées, une pluralité d’acteurs, des procédures documentées, une publication des motifs, et surtout une capacité effective à infléchir la trajectoire décisionnelle. Autrement dit : l’archicration ne se réduit ni à la consultation, ni à la concertation, mais exige la possibilité réelle d’opposer, d’ajourner, de modifier, voire de renverser une orientation prise. C’est une scène dotée de contre-pouvoir, non d’habillage procédural.</w:t>
      </w:r>
    </w:p>
    <w:p>
      <w:pPr>
        <w:pStyle w:val="BodyText"/>
        <w:rPr/>
      </w:pPr>
      <w:r>
        <w:rPr/>
        <w:t xml:space="preserve">Dans leur configuration la plus accessible, les </w:t>
      </w:r>
      <w:r>
        <w:rPr>
          <w:i/>
          <w:iCs/>
        </w:rPr>
        <w:t>archicrations internes</w:t>
      </w:r>
      <w:r>
        <w:rPr/>
        <w:t xml:space="preserve"> se manifestent à travers des dispositifs fonctionnels de critique ou de remise en cause, souvent portés par des agents internes, des usagers, des médiateurs, des délégués ou des référents professionnels. Ces formes, bien que situées à des niveaux intermédiaires ou périphériques, n’en sont pas moins puissantes, car elles incarnent la capacité d’un système à se réguler depuis ses marges. On les retrouve sous des formes variées :</w:t>
      </w:r>
    </w:p>
    <w:p>
      <w:pPr>
        <w:pStyle w:val="BodyText"/>
        <w:numPr>
          <w:ilvl w:val="0"/>
          <w:numId w:val="3"/>
        </w:numPr>
        <w:rPr/>
      </w:pPr>
      <w:r>
        <w:rPr/>
        <w:t>Procédures internes de recours, médiation ou réexamen (comités de discipline avec contradictoire réel, médiateurs d’entreprise dotés d’un pouvoir d’arrêt temporaire, protocoles de signalement).</w:t>
      </w:r>
    </w:p>
    <w:p>
      <w:pPr>
        <w:pStyle w:val="BodyText"/>
        <w:numPr>
          <w:ilvl w:val="0"/>
          <w:numId w:val="3"/>
        </w:numPr>
        <w:rPr/>
      </w:pPr>
      <w:r>
        <w:rPr/>
        <w:t>Formes collégiales d’évaluation (commissions mixtes, panels d’usagers, jurys internes indépendants, journées de retour d’expérience).</w:t>
      </w:r>
    </w:p>
    <w:p>
      <w:pPr>
        <w:pStyle w:val="BodyText"/>
        <w:numPr>
          <w:ilvl w:val="0"/>
          <w:numId w:val="3"/>
        </w:numPr>
        <w:rPr/>
      </w:pPr>
      <w:r>
        <w:rPr/>
        <w:t>Rituels réflexifs ou symboliques, tels que les audits participatifs, les relectures collectives de chartes, ou les re-signatures de serments professionnels, qui jouent un rôle de réactivation critique.</w:t>
      </w:r>
    </w:p>
    <w:p>
      <w:pPr>
        <w:pStyle w:val="BodyText"/>
        <w:numPr>
          <w:ilvl w:val="0"/>
          <w:numId w:val="3"/>
        </w:numPr>
        <w:rPr/>
      </w:pPr>
      <w:r>
        <w:rPr/>
        <w:t>Systèmes épistémiques intégrés (revues de pairs, dispositifs d’auto-formation critique, boucles de feedback opposables).</w:t>
      </w:r>
    </w:p>
    <w:p>
      <w:pPr>
        <w:pStyle w:val="BodyText"/>
        <w:rPr/>
      </w:pPr>
      <w:r>
        <w:rPr/>
        <w:t>Ces dispositifs sont souvent portés par des profils humains modestes mais cruciaux : coordinateurs qualité, médiateurs RH, référents éthiques, syndicats de terrain, agents expérimentés reconnus comme figures d’équilibre. Ce sont eux qui, dans les interstices du pouvoir formel, maintiennent vivante la possibilité de la remise en cause. C’est à travers leur parole, leur écoute, leur capacité à différer l’exécution, que le pouvoir cesse d’être pur flux et retrouve une scène.</w:t>
      </w:r>
    </w:p>
    <w:p>
      <w:pPr>
        <w:pStyle w:val="BodyText"/>
        <w:rPr/>
      </w:pPr>
      <w:r>
        <w:rPr/>
        <w:t>Mais il serait incomplet d’ignorer l’autre polarité de cette scène : celle des figures formelles de pouvoir, des gouvernants internes et des représentants statutaires, c’est-à-dire des personnes ou organes mandatés pour exercer un pouvoir institutionnel à l’intérieur du dispositif, mais aussi, parfois, pour en réguler la trajectoire. Il ne faut pas les réduire à des agents de domination : dans certaines configurations, ils deviennent eux-mêmes des opérateurs d’archicration.</w:t>
      </w:r>
    </w:p>
    <w:p>
      <w:pPr>
        <w:pStyle w:val="BodyText"/>
        <w:rPr/>
      </w:pPr>
      <w:r>
        <w:rPr/>
        <w:t>C’est le cas lorsqu’un conseil municipal pluraliste peut bloquer une décision de l’exécutif local en convoquant les textes fondateurs ; lorsqu’un conseil d’administration doté d’un véritable droit d’amendement associe représentants des usagers, des salariés et des tutelles ; lorsqu’un bureau exécutif est tenu de publier les motifs de ses décisions stratégiques ; lorsqu’une direction institue une cellule indépendante de régulation avec droit de veto ; ou encore lorsqu’une assemblée générale, un congrès syndical ou une conférence de consensus dispose d’une capacité effective à différer, amender ou rouvrir une orientation prise.</w:t>
      </w:r>
    </w:p>
    <w:p>
      <w:pPr>
        <w:pStyle w:val="BodyText"/>
        <w:rPr/>
      </w:pPr>
      <w:r>
        <w:rPr/>
        <w:t>Ce sont là des formes fortement instituées d’archicration interne. Elles sont régulatrices, non parce qu’elles détiennent le pouvoir, mais parce qu’elles détiennent la capacité organisée d’en suspendre, d’en infléchir ou d’en requalifier l’exercice. Là où une telle capacité devient praticable, l’archicration interne cesse d’être périphérique : elle s’encastre dans la verticalité même du pouvoir et peut en redéfinir le cours.</w:t>
      </w:r>
    </w:p>
    <w:p>
      <w:pPr>
        <w:pStyle w:val="BodyText"/>
        <w:rPr/>
      </w:pPr>
      <w:r>
        <w:rPr/>
        <w:t>Ces figures en révèlent aussi immédiatement les limites : lorsqu’elles deviennent cooptées, silencieuses, bureaucratisées, ou empêchées par des délais excessifs, elles cessent d’être des vecteurs d’archicration et deviennent des relais de la seule cratialité. D’où l’importance, dans le diagnostic archicratique, d’évaluer leur pouvoir réel de contestation, leur autonomie, leur capacité d’arbitrage, leur exposition à la critique et leur prise effective sur la décision.</w:t>
      </w:r>
    </w:p>
    <w:p>
      <w:pPr>
        <w:pStyle w:val="BodyText"/>
        <w:rPr/>
      </w:pPr>
      <w:r>
        <w:rPr/>
        <w:t>Une archicration interne n’est jamais réductible à sa forme. Elle doit être interrogée dans la matérialité même de la dispute : publicité des ordres du jour, délais de convocation, accessibilité et motivation des comptes rendus, pluralité des membres, possibilités d’appel, existence de minorités entendues, capacité réelle à ralentir ou infléchir l’exécution. Ces critères ne sont pas accessoires ; ils déterminent la vitalité politique du dispositif. Une scène d’épreuve sans effet ralentisseur, sans temporalité suffisante ou sans prise sur la trajectoire décisionnelle n’est plus qu’un paravent procédural.</w:t>
      </w:r>
    </w:p>
    <w:p>
      <w:pPr>
        <w:pStyle w:val="BodyText"/>
        <w:rPr/>
      </w:pPr>
      <w:r>
        <w:rPr/>
        <w:t>C’est ici que le paradigme archicratique prend toute sa valeur. Ce n’est ni le simple fait d’avoir un conseil, une commission ou une instance consultative qui garantit la tenue politique d’une régulation, ni même la solennité de ses formes. Ce qui importe, c’est l’intelligence du différé : la capacité du dispositif à retenir un acte, ouvrir une objection, entendre une contradiction et rendre possible une reprise. Là où cette possibilité demeure praticable, l’archicration interne maintient le pouvoir habitable ; là où elle se dissout dans l’inaction, la simulation ou l’impuissance organisée, elle cesse d’être une scène de reprise et devient l’un des signes mêmes de la désarchicration.</w:t>
      </w:r>
    </w:p>
    <w:p>
      <w:pPr>
        <w:pStyle w:val="Heading3"/>
        <w:numPr>
          <w:ilvl w:val="2"/>
          <w:numId w:val="2"/>
        </w:numPr>
        <w:rPr/>
      </w:pPr>
      <w:r>
        <w:rPr/>
        <w:t xml:space="preserve">1.4.6 — </w:t>
      </w:r>
      <w:r>
        <w:rPr>
          <w:i/>
          <w:iCs/>
        </w:rPr>
        <w:t>Archicrations externes</w:t>
      </w:r>
      <w:r>
        <w:rPr/>
        <w:t xml:space="preserve"> : scènes surplombantes, interpellations dissidentes et figures de contre-institution</w:t>
      </w:r>
    </w:p>
    <w:p>
      <w:pPr>
        <w:pStyle w:val="BodyText"/>
        <w:rPr/>
      </w:pPr>
      <w:r>
        <w:rPr/>
        <w:t>Lorsque l’</w:t>
      </w:r>
      <w:r>
        <w:rPr>
          <w:i/>
          <w:iCs/>
        </w:rPr>
        <w:t>archicration interne</w:t>
      </w:r>
      <w:r>
        <w:rPr/>
        <w:t xml:space="preserve"> fait défaut — par capture, désactivation, simulation ou clôture — il ne reste souvent, pour éviter l’absolutisme fonctionnel, que la possibilité d’une épreuve externe. L’</w:t>
      </w:r>
      <w:r>
        <w:rPr>
          <w:i/>
          <w:iCs/>
        </w:rPr>
        <w:t>archicration externe</w:t>
      </w:r>
      <w:r>
        <w:rPr/>
        <w:t>, dans ce contexte, désigne l’ensemble des dispositifs, des acteurs, des scènes, des temporalités et des langages par lesquels une régulation peut être contestée depuis l’extérieur du système qui la produit. Ce sont les formes instituées ou insurgées de dispute venue d’ailleurs, portées par des tiers, des contre-pouvoirs, des entités juridictionnelles, médiatiques, sociales, scientifiques, syndicales, militantes ou citoyennes. Elles incarnent, dans l’architecture du paradigme archicratique, la garantie minimale d’un dehors politiquement actif.</w:t>
      </w:r>
    </w:p>
    <w:p>
      <w:pPr>
        <w:pStyle w:val="BodyText"/>
        <w:rPr/>
      </w:pPr>
      <w:r>
        <w:rPr/>
        <w:t>Loin d’être un simple complément du dedans, l’</w:t>
      </w:r>
      <w:r>
        <w:rPr>
          <w:i/>
          <w:iCs/>
        </w:rPr>
        <w:t>archicration externe</w:t>
      </w:r>
      <w:r>
        <w:rPr/>
        <w:t xml:space="preserve"> est une structure autonome d’interpellation politique. Elle permet à des individus ou des collectifs non impliqués dans la conception directe de la régulation — mais affectés par ses effets — de poser une objection, d’ouvrir un contre-récit, de formuler une plainte, d’engager un recours, d’exiger une justification, ou de produire une enquête. Elle est l’une des conditions </w:t>
      </w:r>
      <w:r>
        <w:rPr>
          <w:i/>
          <w:iCs/>
        </w:rPr>
        <w:t>sine qua non</w:t>
      </w:r>
      <w:r>
        <w:rPr/>
        <w:t xml:space="preserve"> de la soutenabilité politique d’un ordre régulateur.</w:t>
      </w:r>
    </w:p>
    <w:p>
      <w:pPr>
        <w:pStyle w:val="BodyText"/>
        <w:rPr/>
      </w:pPr>
      <w:r>
        <w:rPr/>
        <w:t>Il est essentiel d’affirmer ici que l’archicration externe ne s’incarne jamais seule dans des procédures abstraites. Elle repose sur des sujets politiques et des collectifs institués qui en assurent la vitalité concrète : magistrats, syndicalistes, journalistes d’investigation, rapporteurs d’instances supranationales, chercheurs indépendants, lanceurs d’alerte, collectifs citoyens ou requérants engagés dans des contentieux stratégiques. Ce qui les définit n’est pas une simple extériorité géographique ou institutionnelle, mais une position d’exogénéité critique : ils ne produisent pas la régulation, mais ils peuvent en suspendre, en infléchir ou en requalifier les effets.</w:t>
      </w:r>
    </w:p>
    <w:p>
      <w:pPr>
        <w:pStyle w:val="BodyText"/>
        <w:rPr/>
      </w:pPr>
      <w:r>
        <w:rPr/>
        <w:t>Dans chacun de ces cas, l’enjeu n’est pas nécessairement d’annuler une décision, mais de la soumettre à l’épreuve d’un regard autre, d’un langage autre, d’un délai autre, d’un jugement autre. L’archicration externe redonne ainsi au politique ce que la cratialité tend à rendre exclusivement fonctionnel : la possibilité d’une objection située, documentée, portée et rendue audible au-dehors du circuit qui a produit la décision.</w:t>
      </w:r>
    </w:p>
    <w:p>
      <w:pPr>
        <w:pStyle w:val="BodyText"/>
        <w:rPr/>
      </w:pPr>
      <w:r>
        <w:rPr/>
        <w:t>Pour permettre une cartographie plus fine, il faut distinguer plusieurs vecteurs d’archicration externe, selon la manière dont la contestation s’institue, se porte et agit sur la régulation :</w:t>
      </w:r>
    </w:p>
    <w:p>
      <w:pPr>
        <w:pStyle w:val="BodyText"/>
        <w:numPr>
          <w:ilvl w:val="0"/>
          <w:numId w:val="3"/>
        </w:numPr>
        <w:rPr/>
      </w:pPr>
      <w:r>
        <w:rPr/>
        <w:t>Juridictionnelle : lorsque l’épreuve passe par une instance judiciaire ou quasi-judiciaire — nationale ou supranationale — capable de suspendre, de réviser ou d’annuler un effet normatif.</w:t>
      </w:r>
    </w:p>
    <w:p>
      <w:pPr>
        <w:pStyle w:val="BodyText"/>
        <w:numPr>
          <w:ilvl w:val="0"/>
          <w:numId w:val="3"/>
        </w:numPr>
        <w:rPr/>
      </w:pPr>
      <w:r>
        <w:rPr/>
        <w:t>Médiatico-documentaire : lorsque la mise au jour publique d’une opacité, d’une contradiction ou d’une dissimulation oblige le dispositif à se justifier, à se corriger ou à se réexposer.</w:t>
      </w:r>
    </w:p>
    <w:p>
      <w:pPr>
        <w:pStyle w:val="BodyText"/>
        <w:numPr>
          <w:ilvl w:val="0"/>
          <w:numId w:val="3"/>
        </w:numPr>
        <w:rPr/>
      </w:pPr>
      <w:r>
        <w:rPr/>
        <w:t>Sociale et syndicale : lorsque la contestation s’organise à partir de collectifs capables de formuler une objection durable, de l’instituer et d’en soutenir politiquement le coût.</w:t>
      </w:r>
    </w:p>
    <w:p>
      <w:pPr>
        <w:pStyle w:val="BodyText"/>
        <w:numPr>
          <w:ilvl w:val="0"/>
          <w:numId w:val="3"/>
        </w:numPr>
        <w:rPr/>
      </w:pPr>
      <w:r>
        <w:rPr/>
        <w:t>Scientifique et épistémique : lorsque des contre-expertises, des données contradictoires ou des enquêtes indépendantes rouvrent une décision que le dispositif prétendait clore par l’autorité du savoir.</w:t>
      </w:r>
    </w:p>
    <w:p>
      <w:pPr>
        <w:pStyle w:val="BodyText"/>
        <w:numPr>
          <w:ilvl w:val="0"/>
          <w:numId w:val="3"/>
        </w:numPr>
        <w:rPr/>
      </w:pPr>
      <w:r>
        <w:rPr/>
        <w:t>Civique et contentieuse : lorsque des citoyens, associations ou collectifs engagent des recours, des pétitions opposables, des actions coordonnées ou des occupations symboliques ouvrant un dehors effectif à la régulation.</w:t>
      </w:r>
    </w:p>
    <w:p>
      <w:pPr>
        <w:pStyle w:val="BodyText"/>
        <w:rPr/>
      </w:pPr>
      <w:r>
        <w:rPr/>
        <w:t>Ces vecteurs ne produisent pas tous les mêmes effets, ni le même degré de contrainte. Mais ils ont en commun d’introduire un dehors capable de troubler l’évidence fonctionnelle de la décision, d’en rouvrir la justification, et de rendre à la régulation une part de la dispute qu’elle tendait à exclure.</w:t>
      </w:r>
    </w:p>
    <w:p>
      <w:pPr>
        <w:pStyle w:val="BodyText"/>
        <w:rPr/>
      </w:pPr>
      <w:r>
        <w:rPr/>
        <w:t>Dans chacun de ces cas, l’objet n’est pas nécessairement d’annuler une décision, mais de la soumettre à l’épreuve d’un regard autre, d’un langage autre, d’un délai autre, d’un jugement autre. L’</w:t>
      </w:r>
      <w:r>
        <w:rPr>
          <w:i/>
          <w:iCs/>
        </w:rPr>
        <w:t>archicration externe</w:t>
      </w:r>
      <w:r>
        <w:rPr/>
        <w:t xml:space="preserve"> redonne au politique ce que la </w:t>
      </w:r>
      <w:r>
        <w:rPr>
          <w:i/>
          <w:iCs/>
        </w:rPr>
        <w:t>cratialité</w:t>
      </w:r>
      <w:r>
        <w:rPr/>
        <w:t xml:space="preserve"> a tenté de rendre exclusivement fonctionnel.</w:t>
      </w:r>
    </w:p>
    <w:p>
      <w:pPr>
        <w:pStyle w:val="BodyText"/>
        <w:rPr/>
      </w:pPr>
      <w:r>
        <w:rPr/>
        <w:t>Mais l’existence d’</w:t>
      </w:r>
      <w:r>
        <w:rPr>
          <w:i/>
          <w:iCs/>
        </w:rPr>
        <w:t>archicration externe</w:t>
      </w:r>
      <w:r>
        <w:rPr/>
        <w:t xml:space="preserve"> n’est jamais garantie, même dans des régimes démocratiques formels. Elle dépend :</w:t>
      </w:r>
    </w:p>
    <w:p>
      <w:pPr>
        <w:pStyle w:val="BodyText"/>
        <w:numPr>
          <w:ilvl w:val="0"/>
          <w:numId w:val="3"/>
        </w:numPr>
        <w:rPr/>
      </w:pPr>
      <w:r>
        <w:rPr/>
        <w:t xml:space="preserve">De la </w:t>
      </w:r>
      <w:r>
        <w:rPr>
          <w:i/>
          <w:iCs/>
        </w:rPr>
        <w:t>possibilité d’accès</w:t>
      </w:r>
      <w:r>
        <w:rPr/>
        <w:t xml:space="preserve"> (ex : peut-on réellement saisir la Cour ? Est-ce financièrement soutenable ?).</w:t>
      </w:r>
    </w:p>
    <w:p>
      <w:pPr>
        <w:pStyle w:val="BodyText"/>
        <w:numPr>
          <w:ilvl w:val="0"/>
          <w:numId w:val="3"/>
        </w:numPr>
        <w:rPr/>
      </w:pPr>
      <w:r>
        <w:rPr/>
        <w:t xml:space="preserve">De la </w:t>
      </w:r>
      <w:r>
        <w:rPr>
          <w:i/>
          <w:iCs/>
        </w:rPr>
        <w:t>reconnaissance de la contestation</w:t>
      </w:r>
      <w:r>
        <w:rPr/>
        <w:t xml:space="preserve"> (ex : les minorités sociales ont-elles un droit à la parole égale ?).</w:t>
      </w:r>
    </w:p>
    <w:p>
      <w:pPr>
        <w:pStyle w:val="BodyText"/>
        <w:numPr>
          <w:ilvl w:val="0"/>
          <w:numId w:val="3"/>
        </w:numPr>
        <w:rPr/>
      </w:pPr>
      <w:r>
        <w:rPr/>
        <w:t xml:space="preserve">Du </w:t>
      </w:r>
      <w:r>
        <w:rPr>
          <w:i/>
          <w:iCs/>
        </w:rPr>
        <w:t>délai</w:t>
      </w:r>
      <w:r>
        <w:rPr/>
        <w:t xml:space="preserve"> et du </w:t>
      </w:r>
      <w:r>
        <w:rPr>
          <w:i/>
          <w:iCs/>
        </w:rPr>
        <w:t>différé</w:t>
      </w:r>
      <w:r>
        <w:rPr/>
        <w:t xml:space="preserve"> (ex : la décision est-elle encore réversible ?).</w:t>
      </w:r>
    </w:p>
    <w:p>
      <w:pPr>
        <w:pStyle w:val="BodyText"/>
        <w:numPr>
          <w:ilvl w:val="0"/>
          <w:numId w:val="3"/>
        </w:numPr>
        <w:rPr/>
      </w:pPr>
      <w:r>
        <w:rPr/>
        <w:t xml:space="preserve">De la </w:t>
      </w:r>
      <w:r>
        <w:rPr>
          <w:i/>
          <w:iCs/>
        </w:rPr>
        <w:t>publicité des motifs</w:t>
      </w:r>
      <w:r>
        <w:rPr/>
        <w:t xml:space="preserve"> (ex : la critique peut-elle être entendue, documentée, archivée ?).</w:t>
      </w:r>
    </w:p>
    <w:p>
      <w:pPr>
        <w:pStyle w:val="BodyText"/>
        <w:numPr>
          <w:ilvl w:val="0"/>
          <w:numId w:val="3"/>
        </w:numPr>
        <w:rPr/>
      </w:pPr>
      <w:r>
        <w:rPr/>
        <w:t>De l’</w:t>
      </w:r>
      <w:r>
        <w:rPr>
          <w:i/>
          <w:iCs/>
        </w:rPr>
        <w:t>incarnation</w:t>
      </w:r>
      <w:r>
        <w:rPr/>
        <w:t xml:space="preserve"> (ex : y a-t-il une figure capable de porter la contestation, de l’instituer, de l’assumer dans la durée ?).</w:t>
      </w:r>
    </w:p>
    <w:p>
      <w:pPr>
        <w:pStyle w:val="BodyText"/>
        <w:rPr/>
      </w:pPr>
      <w:r>
        <w:rPr/>
        <w:t>Lorsque ces conditions s’effacent — ou sont instrumentalisées — l’</w:t>
      </w:r>
      <w:r>
        <w:rPr>
          <w:i/>
          <w:iCs/>
        </w:rPr>
        <w:t>archicration externe</w:t>
      </w:r>
      <w:r>
        <w:rPr/>
        <w:t xml:space="preserve"> se vide de son pouvoir régulateur, devenant scène de théâtre sans effet juridique, procédure sans autorité, recours sans destinataire, voix sans écho. Ce sont ces situations que le paradigme archicratique nous permet de diagnostiquer comme formes de capture par mimétisme externe : la dispute semble possible, mais elle n’a pas de prise.</w:t>
      </w:r>
    </w:p>
    <w:p>
      <w:pPr>
        <w:pStyle w:val="BodyText"/>
        <w:rPr/>
      </w:pPr>
      <w:r>
        <w:rPr/>
        <w:t>Dans ces cas-là, l’</w:t>
      </w:r>
      <w:r>
        <w:rPr>
          <w:i/>
          <w:iCs/>
        </w:rPr>
        <w:t>archicration externe</w:t>
      </w:r>
      <w:r>
        <w:rPr/>
        <w:t xml:space="preserve"> fonctionne comme décor rituel : rapport public classé sans suite, consultation formelle sans débat réel, médiateur sans mandat coercitif, tribune ouverte sans suite politique. La figure du contre-pouvoir est présente, mais désactivée. On fait parler l’opposition pour mieux l’absorber.</w:t>
      </w:r>
    </w:p>
    <w:p>
      <w:pPr>
        <w:pStyle w:val="BodyText"/>
        <w:rPr/>
      </w:pPr>
      <w:r>
        <w:rPr/>
        <w:t>C’est pourquoi, dans l’économie générale du paradigme, l’</w:t>
      </w:r>
      <w:r>
        <w:rPr>
          <w:i/>
          <w:iCs/>
        </w:rPr>
        <w:t>archicration externe</w:t>
      </w:r>
      <w:r>
        <w:rPr/>
        <w:t xml:space="preserve"> ne doit jamais être pensée comme un supplément facultatif, mais comme une condition limite de viabilité de la régulation. Elle désigne le point où le politique peut encore reprendre forme, quand l’interne a été saturé, quand l’</w:t>
      </w:r>
      <w:r>
        <w:rPr>
          <w:i/>
          <w:iCs/>
        </w:rPr>
        <w:t>arcalité</w:t>
      </w:r>
      <w:r>
        <w:rPr/>
        <w:t xml:space="preserve"> est désactivée, et quand la </w:t>
      </w:r>
      <w:r>
        <w:rPr>
          <w:i/>
          <w:iCs/>
        </w:rPr>
        <w:t>cratialité</w:t>
      </w:r>
      <w:r>
        <w:rPr/>
        <w:t xml:space="preserve"> devient insulaire. C’est le retour du dehors, non comme menace, mais comme ressource de relance critique.</w:t>
      </w:r>
    </w:p>
    <w:p>
      <w:pPr>
        <w:pStyle w:val="BodyText"/>
        <w:rPr/>
      </w:pPr>
      <w:r>
        <w:rPr/>
        <w:t>C’est aussi, plus tragiquement, le lieu où se manifeste l’effondrement des formes démocratiques classiques, lorsque les canaux de contestation sont obstrués, lorsque les figures de médiation sont vidées de leur pouvoir, lorsque les institutions internationales sont tournées en simples arènes discursives sans effet de reconfiguration. L’</w:t>
      </w:r>
      <w:r>
        <w:rPr>
          <w:i/>
          <w:iCs/>
        </w:rPr>
        <w:t>archicration externe</w:t>
      </w:r>
      <w:r>
        <w:rPr/>
        <w:t xml:space="preserve"> est alors la dernière ligne de fuite — ou la première matrice d’un recommencement politique.</w:t>
      </w:r>
    </w:p>
    <w:p>
      <w:pPr>
        <w:pStyle w:val="Heading3"/>
        <w:numPr>
          <w:ilvl w:val="2"/>
          <w:numId w:val="2"/>
        </w:numPr>
        <w:rPr/>
      </w:pPr>
      <w:r>
        <w:rPr/>
        <w:t>1.4.7 — Interactions croisées et migrations topologiques : dynamiques de déplacement des pôles de la régulation</w:t>
      </w:r>
    </w:p>
    <w:p>
      <w:pPr>
        <w:pStyle w:val="BodyText"/>
        <w:rPr/>
      </w:pPr>
      <w:r>
        <w:rPr/>
        <w:t>Si l’on a distingué, jusqu’ici, les prises internes et externes pour chacun des trois pôles du paradigme archicratique — arcalité, cratialité, archicration —, cette cartographie ne saurait être figée. Les dispositifs régulateurs réels ne sont pas des blocs isolés, mais des ensembles dynamiques, traversés par des circulations, des transferts et des reconfigurations. L’interne et l’externe doivent donc être compris comme des positions politiques et stratégiques, dont les objets, les fonctions, les signes et les effets peuvent migrer, se dissimuler ou se renverser.</w:t>
      </w:r>
    </w:p>
    <w:p>
      <w:pPr>
        <w:pStyle w:val="BodyText"/>
        <w:rPr/>
      </w:pPr>
      <w:r>
        <w:rPr/>
        <w:t>C’est précisément dans cette dynamique migratoire que se déploie toute la plasticité — mais aussi toute l’ambiguïté — des régulations contemporaines. Les dérives autarchicratiques ne se réduisent pas à une simple absence de scène ou à une saturation cratiale ; elles procèdent souvent par reconfiguration des prises : Il arrive très souvent que l’externe devienne interne, par assimilation progressive, et que l’interne soit externalisé, par délégation, transfert ou dessaisissement. Ce qui devrait être visible est rendu opaque par changement de topologie. Ainsi, la dérive autarchicratique se manifeste autant par ce qui est dit que par le lieu d’où cela se dit, autant par ce qui est fait que par le lieu d’où cela s’impose.</w:t>
      </w:r>
    </w:p>
    <w:p>
      <w:pPr>
        <w:pStyle w:val="Heading4"/>
        <w:numPr>
          <w:ilvl w:val="3"/>
          <w:numId w:val="2"/>
        </w:numPr>
        <w:rPr/>
      </w:pPr>
      <w:r>
        <w:rPr>
          <w:b/>
          <w:bCs/>
          <w:i/>
          <w:iCs/>
        </w:rPr>
        <w:t>Migrations arcales</w:t>
      </w:r>
      <w:r>
        <w:rPr>
          <w:b/>
          <w:bCs/>
        </w:rPr>
        <w:t xml:space="preserve"> : du mythe incorporé au fondement importé</w:t>
      </w:r>
    </w:p>
    <w:p>
      <w:pPr>
        <w:pStyle w:val="BodyText"/>
        <w:rPr/>
      </w:pPr>
      <w:r>
        <w:rPr/>
        <w:t>Dans le domaine de l’arcalité, les migrations sont souvent les plus silencieuses, parce qu’elles s’opèrent sur des plans symboliques, juridiques ou cognitifs dont la transformation n’apparaît pas immédiatement comme déplacement politique. Une arcalité externe — norme issue d’un traité, principe importé d’un autre ordre juridique, standard international — peut ainsi être progressivement incorporée comme fondement interne d’un dispositif. Inversement, une arcalité interne peut être projetée au-dehors, universalisée ou standardisée, jusqu’à perdre le caractère situé qui faisait sa force.</w:t>
      </w:r>
    </w:p>
    <w:p>
      <w:pPr>
        <w:pStyle w:val="BodyText"/>
        <w:rPr/>
      </w:pPr>
      <w:r>
        <w:rPr/>
        <w:t>Ce jeu de migrations n’est pas anodin. Une arcalité externe internalisée peut cesser d’apparaître comme fondement discutable pour devenir doctrine implicite ; une arcalité interne externalisée peut, à l’inverse, perdre son autorité propre et se dissoudre dans une circulation symbolique plus large. Dans les deux cas, c’est le statut politique du fondement qui se modifie : non son existence, mais sa localisation, sa lisibilité et sa capacité à être repris.</w:t>
      </w:r>
    </w:p>
    <w:p>
      <w:pPr>
        <w:pStyle w:val="Heading4"/>
        <w:numPr>
          <w:ilvl w:val="3"/>
          <w:numId w:val="2"/>
        </w:numPr>
        <w:rPr/>
      </w:pPr>
      <w:r>
        <w:rPr>
          <w:b/>
          <w:bCs/>
          <w:i/>
          <w:iCs/>
        </w:rPr>
        <w:t>Migrations cratiales</w:t>
      </w:r>
      <w:r>
        <w:rPr>
          <w:b/>
          <w:bCs/>
        </w:rPr>
        <w:t xml:space="preserve"> : entre externalisation opérationnelle et reterritorialisation instrumentale</w:t>
      </w:r>
    </w:p>
    <w:p>
      <w:pPr>
        <w:pStyle w:val="BodyText"/>
        <w:rPr/>
      </w:pPr>
      <w:r>
        <w:rPr/>
        <w:t>La cratialité est sans doute le champ le plus actif de ces transferts topologiques, tant les processus de délégation, de privatisation, d’externalisation ou de sous-traitance y sont massifs. Lorsqu’un dispositif confie à des opérateurs extérieurs la gestion de ses données, de ses outils, de ses référentiels ou de ses interfaces d’exécution, le pouvoir d’opérer circule dans des circuits exogènes, tout en continuant d’affecter directement la régulation interne.</w:t>
      </w:r>
    </w:p>
    <w:p>
      <w:pPr>
        <w:pStyle w:val="BodyText"/>
        <w:rPr/>
      </w:pPr>
      <w:r>
        <w:rPr/>
        <w:t>Mais ce mouvement peut aussi s’inverser. Une cratialité initialement externe peut être réinternalisée lorsqu’un standard, un indicateur ou un outil conçu ailleurs devient un organe de commandement interne. Le problème n’est donc pas seulement l’externalisation : c’est l’opacification de la trajectoire elle-même. Une cratialité externalisée peut échapper au contrôle politique ; une cratialité réinternalisée peut, à l’inverse, rendre invisible sa propre généalogie. Dans les deux cas, la migration brouille l’identification du lieu d’où s’exerce effectivement le pouvoir d’agir.</w:t>
      </w:r>
    </w:p>
    <w:p>
      <w:pPr>
        <w:pStyle w:val="Heading4"/>
        <w:numPr>
          <w:ilvl w:val="3"/>
          <w:numId w:val="2"/>
        </w:numPr>
        <w:rPr/>
      </w:pPr>
      <w:r>
        <w:rPr>
          <w:b/>
          <w:bCs/>
          <w:i/>
          <w:iCs/>
        </w:rPr>
        <w:t>Migrations archicratives</w:t>
      </w:r>
      <w:r>
        <w:rPr>
          <w:b/>
          <w:bCs/>
        </w:rPr>
        <w:t xml:space="preserve"> : captations de la scène et externalisations de la dispute</w:t>
      </w:r>
    </w:p>
    <w:p>
      <w:pPr>
        <w:pStyle w:val="BodyText"/>
        <w:rPr/>
      </w:pPr>
      <w:r>
        <w:rPr/>
        <w:t>Enfin, l’archicration est elle aussi traversée par des déplacements topologiques, et leurs effets sont ici décisifs, puisqu’ils touchent à la localisation même des scènes de dispute. Une archicration externe — juridictionnelle, médiatique, citoyenne — peut être intégrée au cœur d’un dispositif régulateur ; mais cette internalisation demeure ambivalente, car elle peut renforcer l’effectivité de la contestation aussi bien qu’organiser sa neutralisation par cooptation ou mise en scène.</w:t>
      </w:r>
    </w:p>
    <w:p>
      <w:pPr>
        <w:pStyle w:val="BodyText"/>
        <w:rPr/>
      </w:pPr>
      <w:r>
        <w:rPr/>
        <w:t>Inversement, une archicration interne peut être délestée vers l’extérieur lorsque les scènes instituées perdent toute prise réelle et que la dispute ne peut plus passer que par des canaux publics, contentieux, militants ou informels. La migration archicrative peut donc être émancipatrice lorsqu’elle ouvre la scène à des acteurs jusque-là exclus ; mais elle peut aussi être neutralisante lorsqu’elle transforme une procédure vivante en décor procédural. Ce que révèle ici l’analyse archicratique, c’est que l’épreuve d’un dispositif dépend moins de la seule existence d’une scène que du lieu où cette scène devient effectivement praticable.</w:t>
      </w:r>
    </w:p>
    <w:p>
      <w:pPr>
        <w:pStyle w:val="BodyText"/>
        <w:rPr/>
      </w:pPr>
      <w:r>
        <w:rPr/>
        <w:t>Une analyse archicratique rigoureuse doit donc interroger la trajectoire de ces déplacements : qu’est-ce qui a migré, depuis quel dehors ou quel dedans, et avec quels effets sur la lisibilité, l’opposabilité et la viabilité du dispositif ? C’est seulement à cette condition que l’analyse évite de figer l’interne et l’externe comme des catégories substantielles, et qu’elle peut les lire comme des positions stratégiques, historiquement mobiles.</w:t>
      </w:r>
    </w:p>
    <w:p>
      <w:pPr>
        <w:pStyle w:val="BodyText"/>
        <w:rPr/>
      </w:pPr>
      <w:r>
        <w:rPr/>
        <w:t>Ce que révèle alors le paradigme archicratique, c’est moins la simple présence de déplacements que la manière dont certains dispositifs tendent à les rendre invisibles : naturalisation des arcalités capturées, dissimulation des délégations cratiales, mise en scène neutralisante des archicrations. L’analyse n’attribue pas un pouvoir d’action à l’archicratie ; elle déploie une grammaire pour identifier les régulations qui neutralisent la coprésence de ses pôles constitutifs à travers des migrations topologiques devenues politiquement peu lisibles.</w:t>
      </w:r>
    </w:p>
    <w:p>
      <w:pPr>
        <w:pStyle w:val="BodyText"/>
        <w:rPr/>
      </w:pPr>
      <w:r>
        <w:rPr/>
        <w:t>La section suivante prolongera cette réflexion en abordant les tensions de co-viabilité qui naissent de ces migrations : lorsque trop d’externalisation fait perdre la scène, ou lorsque trop d’internalisation clôt la dispute. Car si tout dispositif est composite, encore faut-il que ses articulations restent lisibles, opposables et soutenables.</w:t>
      </w:r>
    </w:p>
    <w:p>
      <w:pPr>
        <w:pStyle w:val="Heading3"/>
        <w:numPr>
          <w:ilvl w:val="2"/>
          <w:numId w:val="2"/>
        </w:numPr>
        <w:rPr/>
      </w:pPr>
      <w:r>
        <w:rPr/>
        <w:t>1.4.8 — Tensions de co-viabilité : entre clôture interne et dilution externe</w:t>
      </w:r>
    </w:p>
    <w:p>
      <w:pPr>
        <w:pStyle w:val="BodyText"/>
        <w:rPr/>
      </w:pPr>
      <w:r>
        <w:rPr/>
        <w:t>Dans toute configuration régulatrice, les prises internes et externes ne se limitent pas à des composantes topologiques repérables : elles sont vectrices de tensions constitutives, d’équilibres toujours précaires entre clôtures auto-référentielles et expositions à l’altérité. C’est dans cette dynamique que se joue la co-viabilité d’un dispositif, c’est-à-dire sa capacité à durer, à évoluer, à se rendre intelligible, mais aussi à rester politiquement habitable. Il ne suffit pas qu’un dispositif fonctionne pour être viable ; encore faut-il qu’il tienne sans se refermer sur lui-même ni se dissoudre dans un horizon d’hétéronomie indéfinie.</w:t>
      </w:r>
    </w:p>
    <w:p>
      <w:pPr>
        <w:pStyle w:val="BodyText"/>
        <w:rPr/>
      </w:pPr>
      <w:r>
        <w:rPr/>
        <w:t>L’excès d’internalité produit des régulations opaques, fermées, surcodées, où les fondements deviennent tautologiques, les procédures autoréférentielles, et les voies de contestation soit illisibles, soit inaccessibles. Dans une telle configuration, l’arcalité interne tourne au dogme, la cratialité interne au pilotage automatique, et l’archicration interne au simulacre procédural.</w:t>
      </w:r>
    </w:p>
    <w:p>
      <w:pPr>
        <w:pStyle w:val="BodyText"/>
        <w:rPr/>
      </w:pPr>
      <w:r>
        <w:rPr/>
        <w:t>L’exemple paradigmatique en est un dispositif saturé de ses propres protocoles, de ses tableaux de bord et de ses codages, au point que chaque décision renvoie à une chaîne normative interne qui finit par évacuer tout horizon externe d’évaluation ou de révision. La régulation devient alors circulaire : elle tient, mais ne se reprend plus ; elle fonctionne, mais ne se pense plus.</w:t>
      </w:r>
    </w:p>
    <w:p>
      <w:pPr>
        <w:pStyle w:val="BodyText"/>
        <w:rPr/>
      </w:pPr>
      <w:r>
        <w:rPr/>
        <w:t>À l’inverse, l’excès d’externalité engendre des régulations dépendantes, instables ou asservies à des logiques qui leur demeurent étrangères. L’arcalité y est déracinée, la cratialité subordonnée à des instruments ou à des opérateurs extérieurs, et l’archicration disjointe de l’espace réel d’action. Le dispositif continue d’agir, mais il n’est plus véritablement ni enraciné ni amendable.</w:t>
      </w:r>
    </w:p>
    <w:p>
      <w:pPr>
        <w:pStyle w:val="BodyText"/>
        <w:rPr/>
      </w:pPr>
      <w:r>
        <w:rPr/>
        <w:t>Lorsque les références, les outils et les scènes d’épreuve sont tous déplacés hors du périmètre de la régulation elle-même, l’ordre se défait dans l’hétéronomie. L’archicration externe devient lointaine, diluée, parfois cosmétique ; la reprise demeure théoriquement possible, mais pratiquement sans prise sur le cours effectif de l’action.</w:t>
      </w:r>
    </w:p>
    <w:p>
      <w:pPr>
        <w:pStyle w:val="BodyText"/>
        <w:rPr/>
      </w:pPr>
      <w:r>
        <w:rPr/>
        <w:t>C’est précisément entre ces deux pôles extrêmes que se joue la possibilité d’un dispositif politiquement viable : ni totalement clos, ni intégralement hétéronome, mais capable de maintenir une tension régulée entre interne et externe. La co-viabilité ne suppose pas l’équilibre parfait des prises ; elle exige qu’aucune ne se ferme sur elle-même au point de rendre illisibles les autres.</w:t>
      </w:r>
    </w:p>
    <w:p>
      <w:pPr>
        <w:pStyle w:val="BodyText"/>
        <w:rPr/>
      </w:pPr>
      <w:r>
        <w:rPr/>
        <w:t>Un dispositif demeure habitable lorsqu’il peut mobiliser des justifications internes sans basculer dans l’auto-légitimation close, accueillir des prises extérieures sans se dissoudre dans la dépendance pure, et maintenir des scènes de reprise qui ne soient ni fictives ni délocalisées hors d’atteinte. Ce n’est donc pas la pureté topologique qui importe, mais la lisibilité des articulations, la praticabilité du différé et la possibilité effective d’une reprise.</w:t>
      </w:r>
    </w:p>
    <w:p>
      <w:pPr>
        <w:pStyle w:val="BodyText"/>
        <w:rPr/>
      </w:pPr>
      <w:r>
        <w:rPr/>
        <w:t>Le paradigme archicratique n’a pas pour vocation de désigner un juste milieu abstrait entre ces deux extrêmes, mais de fournir les instruments critiques permettant de repérer les points de bascule, les seuils de rupture et les zones où la régulation cesse d’être une scène de confrontation parce que ses prises deviennent illisibles.</w:t>
      </w:r>
    </w:p>
    <w:p>
      <w:pPr>
        <w:pStyle w:val="BodyText"/>
        <w:rPr/>
      </w:pPr>
      <w:r>
        <w:rPr/>
        <w:t xml:space="preserve">Ces seuils de </w:t>
      </w:r>
      <w:r>
        <w:rPr>
          <w:i/>
          <w:iCs/>
        </w:rPr>
        <w:t>co-viabilité</w:t>
      </w:r>
      <w:r>
        <w:rPr/>
        <w:t xml:space="preserve"> doivent être pensés à partir de critères politiques précis : </w:t>
      </w:r>
      <w:r>
        <w:rPr>
          <w:i/>
          <w:iCs/>
        </w:rPr>
        <w:t>existe-t-il un différé ? Un recours ? Une scène ? Une instance d’interpellation ? Une capacité d’amendement ?</w:t>
      </w:r>
      <w:r>
        <w:rPr/>
        <w:t xml:space="preserve"> Ces questions ne sont pas secondaires : elles sont les conditions minimales de soutenabilité d’un ordre régulateur dans une société qui se dit démocratique.</w:t>
      </w:r>
    </w:p>
    <w:p>
      <w:pPr>
        <w:pStyle w:val="BodyText"/>
        <w:rPr/>
      </w:pPr>
      <w:r>
        <w:rPr/>
        <w:t>On peut synthétiser ce croisement topologique de manière simple.</w:t>
      </w:r>
    </w:p>
    <w:p>
      <w:pPr>
        <w:pStyle w:val="BodyText"/>
        <w:rPr/>
      </w:pPr>
      <w:r>
        <w:rPr/>
        <w:t>Du côté de l’arcalité, l’interne renvoie à des récits fondateurs institutionnels, à des doctrines professionnelles, à des chartes et à des éthiques d’organisation, tandis que l’externe mobilise des référentiels internationaux, des normes trans-étatiques, des mythologies universalistes ou des autorités savantes.</w:t>
      </w:r>
    </w:p>
    <w:p>
      <w:pPr>
        <w:pStyle w:val="BodyText"/>
        <w:rPr/>
      </w:pPr>
      <w:r>
        <w:rPr/>
        <w:t>Du côté de la cratialité, l’interne se manifeste dans les procédures, les chaînes de commandement, les routines logistiques, les outils métiers et l’architecture bureaucratique ; l’externe, dans les prestataires, les plateformes privées, les standards techniques globaux, les contrats de sous-traitance et les audits imposés.</w:t>
      </w:r>
    </w:p>
    <w:p>
      <w:pPr>
        <w:pStyle w:val="BodyText"/>
        <w:rPr/>
      </w:pPr>
      <w:r>
        <w:rPr/>
        <w:t>Enfin, du côté de l’archicration, l’interne prend forme dans les organes de médiation, les commissions ad hoc, les délais internes de recours ou les dispositifs d’audit participatif, tandis que l’externe apparaît dans les juridictions supérieures, la presse d’investigation, les pétitions structurées, les organisations indépendantes et les alertes publiques. Une formalisation synoptique de ces croisements est proposée en annexe, afin d’en faciliter l’usage comparatif.</w:t>
      </w:r>
    </w:p>
    <w:p>
      <w:pPr>
        <w:pStyle w:val="BodyText"/>
        <w:rPr/>
      </w:pPr>
      <w:r>
        <w:rPr/>
        <w:t xml:space="preserve">Prenons un exemple concret. Lorsqu’un algorithme de notation scolaire est conçu, déployé, ajusté, contrôlé, interprété et évalué par la même entité administrative, sans publication de ses paramètres, sans voie de recours externe, sans évaluation indépendante, la régulation est intégralement internalisée. Si, en outre, cet algorithme est développé par un prestataire privé, selon des standards exogènes, sans insertion dans une doctrine pédagogique nationale, alors l’externalisation redevient dominante, mais cette fois sans ancrage arcalitaire interne ni archicration active. Dans les deux cas, la régulation échappe à toute </w:t>
      </w:r>
      <w:r>
        <w:rPr>
          <w:i/>
          <w:iCs/>
        </w:rPr>
        <w:t>co-viabilité</w:t>
      </w:r>
      <w:r>
        <w:rPr/>
        <w:t xml:space="preserve"> politique. Les critiques fusent, mais le diagnostic devient difficile dès lors qu’il s’agit de rendre compte avec précision de ce qui a failli.</w:t>
      </w:r>
    </w:p>
    <w:p>
      <w:pPr>
        <w:pStyle w:val="BodyText"/>
        <w:rPr/>
      </w:pPr>
      <w:r>
        <w:rPr/>
        <w:t>C’est dans ces configurations que l’analyse archicratique prend tout son sens : rétablir une cartographie des prises, identifier la topologie des relations, mesurer la transparence des bifurcations, détecter les zones d’autonomisation dangereuse — et, le cas échéant, proposer une réarticulation des circuits de fondation, d’opération et de dispute.</w:t>
      </w:r>
    </w:p>
    <w:p>
      <w:pPr>
        <w:pStyle w:val="BodyText"/>
        <w:rPr/>
      </w:pPr>
      <w:r>
        <w:rPr/>
        <w:t xml:space="preserve">En somme, penser la </w:t>
      </w:r>
      <w:r>
        <w:rPr>
          <w:i/>
          <w:iCs/>
        </w:rPr>
        <w:t>co-viabilité</w:t>
      </w:r>
      <w:r>
        <w:rPr/>
        <w:t xml:space="preserve"> d’un dispositif régulateur, c’est penser sa tenue dans le différé, son ouverture à l’extériorité, sa capacité de reconfiguration, sans perdre son ancrage ni dissoudre sa légitimité. Ce n’est ni un équilibre idéal, ni une norme absolue : c’est une exigence politique minimale. Et c’est à cette exigence que répond, dans sa vocation critique, le paradigme archicratique.</w:t>
      </w:r>
    </w:p>
    <w:p>
      <w:pPr>
        <w:pStyle w:val="Heading2"/>
        <w:numPr>
          <w:ilvl w:val="1"/>
          <w:numId w:val="2"/>
        </w:numPr>
        <w:rPr/>
      </w:pPr>
      <w:r>
        <w:rPr>
          <w:b/>
          <w:bCs/>
        </w:rPr>
        <w:t>1.5 — Formes dynamiques de la tenue archicratique</w:t>
      </w:r>
    </w:p>
    <w:p>
      <w:pPr>
        <w:pStyle w:val="BodyText"/>
        <w:rPr/>
      </w:pPr>
      <w:r>
        <w:rPr/>
        <w:t xml:space="preserve">Penser un paradigme relationnel, c’est refuser de traiter les régulations comme des états fixes, des catégories stables ou des oppositions binaires. Le paradigme archicratique ne cherche pas à déterminer si un système est équilibré ou déréglé, mais à analyser comment il tient, par quelles prises, dans quelle configuration de relations entre </w:t>
      </w:r>
      <w:r>
        <w:rPr>
          <w:i/>
          <w:iCs/>
        </w:rPr>
        <w:t>arcalité, cratialité et archicration</w:t>
      </w:r>
      <w:r>
        <w:rPr/>
        <w:t>, et surtout, jusqu’où cette tenue est vivable, soutenable, opposable. La régulation n’est pas un état ; c’est une forme — toujours en tension, toujours en transformation.</w:t>
      </w:r>
    </w:p>
    <w:p>
      <w:pPr>
        <w:pStyle w:val="BodyText"/>
        <w:rPr/>
      </w:pPr>
      <w:r>
        <w:rPr/>
        <w:t>Cette section propose une typologie des formes de tenue archicratique : une modélisation des manières dont les trois pôles du paradigme s’articulent ou se désarticulent dans les dispositifs réels. Car toute régulation effective engage nécessairement ces trois dimensions, mais elle le fait selon des équilibres hétérogènes, des désajustements partiels, des déséquilibres provisoirement tenus, des saturations masquées ou des ajustements régénérants.</w:t>
      </w:r>
    </w:p>
    <w:p>
      <w:pPr>
        <w:pStyle w:val="BodyText"/>
        <w:rPr/>
      </w:pPr>
      <w:r>
        <w:rPr/>
        <w:t xml:space="preserve">Nous nommerons ici forme de tenue archicratique toute configuration empirique ou modélisable dans laquelle les trois pôles sont en relation active, selon des degrés de présence, d’articulation, de visibilité et d’effectivité différenciés. Certaines formes permettent la viabilité démocratique du dispositif — nous les qualifierons de </w:t>
      </w:r>
      <w:r>
        <w:rPr>
          <w:i/>
          <w:iCs/>
        </w:rPr>
        <w:t>synchrotopiques</w:t>
      </w:r>
      <w:r>
        <w:rPr/>
        <w:t xml:space="preserve"> : elles maintiennent la tension entre les pôles dans un espace de co-viabilité. D’autres sont marquées par l’hypertrophie d’un pôle, l’effacement d’un autre, ou la déconnexion entre niveaux — elles conduisent à des formes dites hypertopiques, hypotopiques ou atopiques. Enfin, certaines configurations ne relèvent d’aucune pathologie manifeste, mais laissent apparaître des signes cliniques faibles de désarticulation : perte de scène, opacité opérative, ritualisation creuse des fondements.</w:t>
      </w:r>
    </w:p>
    <w:p>
      <w:pPr>
        <w:pStyle w:val="BodyText"/>
        <w:rPr/>
      </w:pPr>
      <w:r>
        <w:rPr/>
        <w:t xml:space="preserve">Ces configurations de tenue ne valent ni comme jugement moral, ni comme idéal-type figé. Elles doivent être comprises comme des formes observables et évolutives. Elles ne sont pas des essences, mais des positions dans un espace de viabilité régulatoire. Et leur analyse permet, dans chaque cas empirique, de répondre à la question fondamentale : </w:t>
      </w:r>
      <w:r>
        <w:rPr>
          <w:i/>
          <w:iCs/>
        </w:rPr>
        <w:t>qu’est-ce qui tient ici ? Comment ? À quel prix ? Et pour combien de temps ?</w:t>
      </w:r>
    </w:p>
    <w:p>
      <w:pPr>
        <w:pStyle w:val="BodyText"/>
        <w:rPr/>
      </w:pPr>
      <w:r>
        <w:rPr/>
        <w:t>Il ne s’agit donc pas de réhabiliter une typologie figée (équilibré vs déséquilibré), ni de fantasmer un modèle harmonieux.</w:t>
      </w:r>
    </w:p>
    <w:p>
      <w:pPr>
        <w:pStyle w:val="BodyText"/>
        <w:rPr/>
      </w:pPr>
      <w:r>
        <w:rPr/>
        <w:t>Quatre grandes formes dynamiques de tenue archicratique peuvent alors être distinguées :</w:t>
      </w:r>
    </w:p>
    <w:p>
      <w:pPr>
        <w:pStyle w:val="BodyText"/>
        <w:numPr>
          <w:ilvl w:val="0"/>
          <w:numId w:val="3"/>
        </w:numPr>
        <w:rPr/>
      </w:pPr>
      <w:r>
        <w:rPr/>
        <w:t xml:space="preserve">La forme </w:t>
      </w:r>
      <w:r>
        <w:rPr>
          <w:i/>
          <w:iCs/>
        </w:rPr>
        <w:t>synchrotopique</w:t>
      </w:r>
      <w:r>
        <w:rPr/>
        <w:t xml:space="preserve"> : tension vivable, différenciation claire des pôles, articulation régulée — une régulation habitable.</w:t>
      </w:r>
    </w:p>
    <w:p>
      <w:pPr>
        <w:pStyle w:val="BodyText"/>
        <w:numPr>
          <w:ilvl w:val="0"/>
          <w:numId w:val="3"/>
        </w:numPr>
        <w:rPr/>
      </w:pPr>
      <w:r>
        <w:rPr/>
        <w:t xml:space="preserve">La forme </w:t>
      </w:r>
      <w:r>
        <w:rPr>
          <w:i/>
          <w:iCs/>
        </w:rPr>
        <w:t>hypertopique</w:t>
      </w:r>
      <w:r>
        <w:rPr/>
        <w:t xml:space="preserve"> : domination d’un pôle archicratique, avec effets de blocage, d’asymétrie ou de dévitalisation.</w:t>
      </w:r>
    </w:p>
    <w:p>
      <w:pPr>
        <w:pStyle w:val="BodyText"/>
        <w:numPr>
          <w:ilvl w:val="0"/>
          <w:numId w:val="3"/>
        </w:numPr>
        <w:rPr/>
      </w:pPr>
      <w:r>
        <w:rPr/>
        <w:t xml:space="preserve">La forme </w:t>
      </w:r>
      <w:r>
        <w:rPr>
          <w:i/>
          <w:iCs/>
        </w:rPr>
        <w:t>hypotopique</w:t>
      </w:r>
      <w:r>
        <w:rPr/>
        <w:t xml:space="preserve"> : effacements, désaffiliations, mises en latence ou désarrimages des prises régulatrices.</w:t>
      </w:r>
    </w:p>
    <w:p>
      <w:pPr>
        <w:pStyle w:val="BodyText"/>
        <w:numPr>
          <w:ilvl w:val="0"/>
          <w:numId w:val="3"/>
        </w:numPr>
        <w:rPr/>
      </w:pPr>
      <w:r>
        <w:rPr/>
        <w:t xml:space="preserve">La forme </w:t>
      </w:r>
      <w:r>
        <w:rPr>
          <w:i/>
          <w:iCs/>
        </w:rPr>
        <w:t>atopique</w:t>
      </w:r>
      <w:r>
        <w:rPr/>
        <w:t xml:space="preserve"> : mimétisme des pôles, vacuité des prises, spectralisation de la régulation.</w:t>
      </w:r>
    </w:p>
    <w:p>
      <w:pPr>
        <w:pStyle w:val="BodyText"/>
        <w:rPr/>
      </w:pPr>
      <w:r>
        <w:rPr/>
        <w:t>Chacune appelle un examen différencié de ses symptômes, de ses objets d’épreuve et de ses points de bascule.</w:t>
      </w:r>
    </w:p>
    <w:p>
      <w:pPr>
        <w:pStyle w:val="BodyText"/>
        <w:rPr/>
      </w:pPr>
      <w:r>
        <w:rPr/>
        <w:t>Ces formes ne s’excluent ni absolument ni définitivement : un même dispositif peut en combiner plusieurs, en traverser successivement les régimes, ou présenter simultanément, selon ses secteurs, une tenue synchrotopique, une dérive hypertopique ou une archicration atopique. Leur fonction n’est pas de classer une fois pour toutes, mais de qualifier des régimes de composition.</w:t>
      </w:r>
    </w:p>
    <w:p>
      <w:pPr>
        <w:pStyle w:val="BodyText"/>
        <w:rPr/>
      </w:pPr>
      <w:r>
        <w:rPr/>
        <w:t>Ainsi comprise, cette typologie n’est pas un classement, mais un outil critique : elle permet d’évaluer la tenue d’un ordre, non pas au regard d’un idéal abstrait, mais selon sa capacité à maintenir un espace de régulation différenciée, active, opposable et soutenable.</w:t>
      </w:r>
    </w:p>
    <w:p>
      <w:pPr>
        <w:pStyle w:val="Heading3"/>
        <w:numPr>
          <w:ilvl w:val="2"/>
          <w:numId w:val="2"/>
        </w:numPr>
        <w:rPr/>
      </w:pPr>
      <w:r>
        <w:rPr/>
        <w:t xml:space="preserve">1.5.1 — </w:t>
      </w:r>
      <w:r>
        <w:rPr>
          <w:i/>
          <w:iCs/>
        </w:rPr>
        <w:t>Formes synchrotopiques</w:t>
      </w:r>
      <w:r>
        <w:rPr/>
        <w:t xml:space="preserve"> : régulation différenciée, soutenable et habitable</w:t>
      </w:r>
    </w:p>
    <w:p>
      <w:pPr>
        <w:pStyle w:val="BodyText"/>
        <w:rPr/>
      </w:pPr>
      <w:r>
        <w:rPr/>
        <w:t xml:space="preserve">Il est un mode rare — mais essentiel — de régulation politique dans lequel les dispositifs archicratiques parviennent à maintenir une différenciation vivante et stable entre leurs composantes, sans tomber ni dans l’autoréférence close, ni dans l’hétéro-dépendance désarticulée, ni dans la neutralisation de la contestation. Ce mode, que nous nommons </w:t>
      </w:r>
      <w:r>
        <w:rPr>
          <w:i/>
          <w:iCs/>
        </w:rPr>
        <w:t>forme synchrotopique</w:t>
      </w:r>
      <w:r>
        <w:rPr/>
        <w:t>, désigne une configuration dans laquelle la régulation s’institue dans une relative cohérence temporelle et topologique : chaque prise, chaque scène, chaque opération s’inscrit dans un espace-temps identifiable, habité, pluralisé — et surtout réellement traversable par les acteurs impliqués.</w:t>
      </w:r>
    </w:p>
    <w:p>
      <w:pPr>
        <w:pStyle w:val="BodyText"/>
        <w:rPr/>
      </w:pPr>
      <w:r>
        <w:rPr/>
        <w:t>Loin de toute idéalisation d’un équilibre parfait, cette forme n’implique ni harmonie statique, ni absence de tensions. Elle désigne plutôt la capacité d’un complexe archicratique de tenir ensemble ses différents régimes de légitimation, d’action et de mise à l’épreuve sans que l’un d’eux n’absorbe ou n’annule les autres. La synchronisation n’est pas un alignement mécanique ; elle est une mise en cadence intelligible des temps du fondement, de l’action et de la contradiction. De même, la topologie convoquée n’est pas une géographie abstraite, mais une cartographie opératoire des lieux, des organes, des flux, des seuils et des scènes où les dynamiques de régulation prennent corps.</w:t>
      </w:r>
    </w:p>
    <w:p>
      <w:pPr>
        <w:pStyle w:val="BodyText"/>
        <w:rPr/>
      </w:pPr>
      <w:r>
        <w:rPr/>
        <w:t xml:space="preserve">Ce qui caractérise la </w:t>
      </w:r>
      <w:r>
        <w:rPr>
          <w:i/>
          <w:iCs/>
        </w:rPr>
        <w:t>forme synchrotopique</w:t>
      </w:r>
      <w:r>
        <w:rPr/>
        <w:t xml:space="preserve"> est d’abord son épaisseur incarnée : les régulations qui y prennent place sont portées, ajustées, interprétées, critiquées, révisées par des sujets situés, professionnels ou profanes, dirigeants ou subalternes, mais tous dotés de moyens réels d’agir ou de contester. L’autonomie n’est pas ici une fiction, mais une propriété distribuée : les fonctions de pilotage ne sont pas déconnectées des capacités de remise en cause ; les fondements normatifs sont susceptibles d’être rappelés, amendés, interprétés ; les décisions prises peuvent faire l’objet d’un délai, d’un recours, d’un retour.</w:t>
      </w:r>
    </w:p>
    <w:p>
      <w:pPr>
        <w:pStyle w:val="BodyText"/>
        <w:rPr/>
      </w:pPr>
      <w:r>
        <w:rPr/>
        <w:t xml:space="preserve">La configuration </w:t>
      </w:r>
      <w:r>
        <w:rPr>
          <w:i/>
          <w:iCs/>
        </w:rPr>
        <w:t>synchrotopique</w:t>
      </w:r>
      <w:r>
        <w:rPr/>
        <w:t xml:space="preserve"> suppose également une architecture documentaire et procédurale lisible : les textes de référence sont accessibles, les décisions sont motivées, les voies de révision sont connues, les outils techniques sont compréhensibles et discutables. Il existe des scènes, non seulement pour décider, mais pour expliquer, discuter, contester et reformuler. La régulation ne s’impose pas comme un automatisme, mais comme une pratique politique située, où l’ajustement et la réflexivité sont constitutifs de la viabilité.</w:t>
      </w:r>
    </w:p>
    <w:p>
      <w:pPr>
        <w:pStyle w:val="BodyText"/>
        <w:rPr/>
      </w:pPr>
      <w:r>
        <w:rPr/>
        <w:t xml:space="preserve">Historiquement, des formes </w:t>
      </w:r>
      <w:r>
        <w:rPr>
          <w:i/>
          <w:iCs/>
        </w:rPr>
        <w:t>synchrotopiques</w:t>
      </w:r>
      <w:r>
        <w:rPr/>
        <w:t xml:space="preserve"> ont pu émerger dans certains contextes de co-délibération institutionnelle, de régulation collégiale ou de gouvernance polycentrique : par exemple, dans des agences sanitaires dotées de comités d’éthique indépendants et pluralistes, dont les avis sont publics et pris en compte dans les décisions exécutives ; ou dans certains hôpitaux publics où la régulation des soins inclut des scènes de dialogue entre praticiens, gestionnaires, représentants des usagers et autorités de santé. Ces situations ne sont jamais parfaites, mais elles manifestent une capacité de tenue différenciée, où aucune des prises n’écrase entièrement les autres.</w:t>
      </w:r>
    </w:p>
    <w:p>
      <w:pPr>
        <w:pStyle w:val="BodyText"/>
        <w:rPr/>
      </w:pPr>
      <w:r>
        <w:rPr/>
        <w:t xml:space="preserve">Ce régime de régulation — bien qu’exceptionnel dans les faits — n’est pas utopique. Il est au contraire ce vers quoi toute configuration régulatrice devrait pouvoir tendre si elle entend rester soutenable politiquement. Ce qui le rend possible, c’est la </w:t>
      </w:r>
      <w:r>
        <w:rPr>
          <w:i/>
          <w:iCs/>
        </w:rPr>
        <w:t>co-existence organisée</w:t>
      </w:r>
      <w:r>
        <w:rPr/>
        <w:t xml:space="preserve"> de plusieurs formes d’intelligence : </w:t>
      </w:r>
      <w:r>
        <w:rPr>
          <w:i/>
          <w:iCs/>
        </w:rPr>
        <w:t>intelligence technique</w:t>
      </w:r>
      <w:r>
        <w:rPr/>
        <w:t xml:space="preserve"> (pour opérer), </w:t>
      </w:r>
      <w:r>
        <w:rPr>
          <w:i/>
          <w:iCs/>
        </w:rPr>
        <w:t>intelligence politique</w:t>
      </w:r>
      <w:r>
        <w:rPr/>
        <w:t xml:space="preserve"> (pour justifier), </w:t>
      </w:r>
      <w:r>
        <w:rPr>
          <w:i/>
          <w:iCs/>
        </w:rPr>
        <w:t>intelligence critique</w:t>
      </w:r>
      <w:r>
        <w:rPr/>
        <w:t xml:space="preserve"> (pour contester). Et surtout, l’acceptation du fait que la stabilité ne vient pas de la suppression des conflits, mais de leur mise en forme dans des lieux et des temps politiquement institués qui permettent de les canaliser.</w:t>
      </w:r>
    </w:p>
    <w:p>
      <w:pPr>
        <w:pStyle w:val="BodyText"/>
        <w:rPr/>
      </w:pPr>
      <w:r>
        <w:rPr/>
        <w:t xml:space="preserve">La </w:t>
      </w:r>
      <w:r>
        <w:rPr>
          <w:i/>
          <w:iCs/>
        </w:rPr>
        <w:t>forme synchrotopique</w:t>
      </w:r>
      <w:r>
        <w:rPr/>
        <w:t xml:space="preserve"> est donc celle d’un dispositif où la régulation reste habitable : non parce qu’elle serait consensuelle, mais parce qu’elle ne nie jamais la possibilité du dissensus, de la reprise, de la reformulation. Elle articule la puissance d’agir et la capacité de réviser. Elle assume que toute décision, aussi technique ou normative soit-elle, doit pouvoir être située, discutée et approuvée. Elle produit non pas la paix, mais le cadre de la coexistence par controverse. En ce sens, elle constitue la forme la plus résistante aux dérives archicratiques : non pas parce qu’elle les empêche par magie, mais parce qu’elle en institue les contre-pouvoirs effectifs.</w:t>
      </w:r>
    </w:p>
    <w:p>
      <w:pPr>
        <w:pStyle w:val="BodyText"/>
        <w:rPr/>
      </w:pPr>
      <w:r>
        <w:rPr/>
        <w:t>Elle est enfin celle où l’humain — en tant que professionnel, usager, citoyen, responsable ou garant — n’est jamais dissous dans l’automatisme, ni neutralisé dans le silence, mais pleinement inscrit dans les circuits de la régulation comme acteur pensant, sentant, contestant et responsable.</w:t>
      </w:r>
    </w:p>
    <w:p>
      <w:pPr>
        <w:pStyle w:val="Heading3"/>
        <w:numPr>
          <w:ilvl w:val="2"/>
          <w:numId w:val="2"/>
        </w:numPr>
        <w:rPr/>
      </w:pPr>
      <w:r>
        <w:rPr/>
        <w:t xml:space="preserve">1.5.2 — </w:t>
      </w:r>
      <w:r>
        <w:rPr>
          <w:i/>
          <w:iCs/>
        </w:rPr>
        <w:t>Formes hypertopiques</w:t>
      </w:r>
      <w:r>
        <w:rPr/>
        <w:t xml:space="preserve"> : déséquilibres par excès, asymétries de pouvoir et régulations verrouillées</w:t>
      </w:r>
    </w:p>
    <w:p>
      <w:pPr>
        <w:pStyle w:val="BodyText"/>
        <w:rPr/>
      </w:pPr>
      <w:r>
        <w:rPr/>
        <w:t>Il est des configurations dans lesquelles la régulation archicratique ne se déploie plus selon la tension dynamique de ses trois pôles constitutifs, mais se trouve déséquilibrée, rigidifiée ou verrouillée par la surdétermination de l’un d’eux, ou par l’alliance de deux contre le troisième. Ces régimes — que nous désignons comme hypertopiques — ne se caractérisent pas tant par la disparition de l’un des pôles que par l’hyper-développement d’un autre, ou par la formation d’alliances asymétriques entre deux fonctions régulatrices qui marginalisent la troisième. Dès lors, ce n’est pas tant l’absence d’un élément qui crée la pathologie, mais bien son excès, sa prétention à suffire, ou sa capture des autres fonctions régulatrices.</w:t>
      </w:r>
    </w:p>
    <w:p>
      <w:pPr>
        <w:pStyle w:val="BodyText"/>
        <w:rPr/>
      </w:pPr>
      <w:r>
        <w:rPr/>
        <w:t>Cette hypertrophie peut prendre diverses formes : autoréférencement dogmatique du fondement, suractivation procédurale des opérateurs, inflation de dispositifs critiques sans emprise effective sur la régulation. Ce sont là les figures d’une archicratie figée dans l’un de ses pôles, au détriment de l’articulation d’ensemble qui seule permet la viabilité d’une régulation soutenable.</w:t>
      </w:r>
    </w:p>
    <w:p>
      <w:pPr>
        <w:pStyle w:val="Heading4"/>
        <w:numPr>
          <w:ilvl w:val="3"/>
          <w:numId w:val="2"/>
        </w:numPr>
        <w:rPr/>
      </w:pPr>
      <w:r>
        <w:rPr/>
        <w:t>Premier cas : hypertrophies unipolaires</w:t>
      </w:r>
    </w:p>
    <w:p>
      <w:pPr>
        <w:pStyle w:val="BodyText"/>
        <w:rPr/>
      </w:pPr>
      <w:r>
        <w:rPr/>
        <w:t xml:space="preserve">Dans les </w:t>
      </w:r>
      <w:r>
        <w:rPr>
          <w:i/>
          <w:iCs/>
        </w:rPr>
        <w:t>configurations hypertopiques unipolaires</w:t>
      </w:r>
      <w:r>
        <w:rPr/>
        <w:t xml:space="preserve">, la dynamique archicratique cesse de tenir ensemble ses trois fonctions et se trouve capturée par l’hyper-développement de l’une d’entre elles. Ainsi, lorsqu’un dispositif se referme sur ses propres fondements – qu’ils soient juridiques, idéologiques, doctrinaux ou historiques – jusqu’à les considérer comme intouchables ou indépassables, la régulation bascule dans une incantation dogmatique. L’ordre n’est plus ajusté : il est répété, récité, invoqué. Les exemples abondent. Dans certains pays, la Constitution est sacralisée au point qu’aucune révision n’est envisageable, même lorsque ses dispositions deviennent incompatibles avec les réalités sociales. Des régimes fondés sur une doctrine religieuse appliquent, sans adaptation ni différé, des prescriptions sacrées à des sociétés profondément transformées. Plus proche de nous, certains codes professionnels — par exemple dans les universités ou les ordres médicaux — sont érigés en principes inamovibles, invoqués à chaque contestation, mais jamais revisités à la lumière de nouvelles pratiques. Dans tous ces cas, la </w:t>
      </w:r>
      <w:r>
        <w:rPr>
          <w:i/>
          <w:iCs/>
        </w:rPr>
        <w:t>sur-arcalisation</w:t>
      </w:r>
      <w:r>
        <w:rPr/>
        <w:t xml:space="preserve"> produit un pouvoir qui énonce sans agir ou qui impose sans adapter, transformant le fondement en carapace immobile.</w:t>
      </w:r>
    </w:p>
    <w:p>
      <w:pPr>
        <w:pStyle w:val="BodyText"/>
        <w:rPr/>
      </w:pPr>
      <w:r>
        <w:rPr/>
        <w:t xml:space="preserve">À l’autre extrême, des dispositifs se replient sur leurs seuls instruments opératoires – logiques de gestion, outils de pilotage, normes de performance, procédures d’implémentation – sans plus se référer à un fondement discuté ni à une scène de contestation organisée. Cette </w:t>
      </w:r>
      <w:r>
        <w:rPr>
          <w:i/>
          <w:iCs/>
        </w:rPr>
        <w:t>hypertopie cratiale</w:t>
      </w:r>
      <w:r>
        <w:rPr/>
        <w:t xml:space="preserve"> est devenue banale. Dans les hôpitaux publics européens, par exemple, des logiciels de planification budgétaire, imposant des seuils d’activité et des ratios financiers, déterminent désormais les ouvertures de lits et l’allocation du personnel sans qu’aucun espace de révision éthique ou politique ne soit prévu. Dans l’administration fiscale, des algorithmes de sélection des contrôles s’appliquent aux contribuables sans publication des critères ni délai d’appel significatif. Ici, l’injonction d’agir prime sur celle de fonder ou de débattre : l’action est auto-légitimée par son rendement, sans plus d’ancrage ni de différé.</w:t>
      </w:r>
    </w:p>
    <w:p>
      <w:pPr>
        <w:pStyle w:val="BodyText"/>
        <w:rPr/>
      </w:pPr>
      <w:r>
        <w:rPr/>
        <w:t>Enfin, certaines configurations connaissent l’hypertrophie inverse : la scène de la contestation elle-même prend le pas sur toute opérativité ou fondement structurant. Le débat, la critique, la participation, l’écoute deviennent les valeurs cardinales, mais sans prise effective sur les décisions. On multiplie les instances, les consultations, les procédures contradictoires — mais sans transformation ni effet de structure. C’est le cas de nombreuses plateformes de consultation publique, où des milliers de contributions citoyennes sont recueillies, publiées, cartographiées — mais jamais traduites en amendements effectifs dans les lois. Certaines assemblées universitaires, saturées de commissions et de votes consultatifs, produisent un flux continu d’avis minoritaires qui ne parviennent jamais à modifier une trajectoire imposée par ailleurs. Dans ces cas, la régulation devient un théâtre d’</w:t>
      </w:r>
      <w:r>
        <w:rPr>
          <w:i/>
          <w:iCs/>
        </w:rPr>
        <w:t>archicration</w:t>
      </w:r>
      <w:r>
        <w:rPr/>
        <w:t xml:space="preserve"> sans </w:t>
      </w:r>
      <w:r>
        <w:rPr>
          <w:i/>
          <w:iCs/>
        </w:rPr>
        <w:t>arcalité</w:t>
      </w:r>
      <w:r>
        <w:rPr/>
        <w:t xml:space="preserve"> ni </w:t>
      </w:r>
      <w:r>
        <w:rPr>
          <w:i/>
          <w:iCs/>
        </w:rPr>
        <w:t>cratialité</w:t>
      </w:r>
      <w:r>
        <w:rPr/>
        <w:t xml:space="preserve"> mobilisées, une fabrique de simulacres où l’on débat de tout sauf de ce qui décide réellement.</w:t>
      </w:r>
    </w:p>
    <w:p>
      <w:pPr>
        <w:pStyle w:val="BodyText"/>
        <w:rPr/>
      </w:pPr>
      <w:r>
        <w:rPr/>
        <w:t xml:space="preserve">Ces trois figures – </w:t>
      </w:r>
      <w:r>
        <w:rPr>
          <w:i/>
          <w:iCs/>
        </w:rPr>
        <w:t>sur-arcalisation, sur-cratialisation, sur-archicration</w:t>
      </w:r>
      <w:r>
        <w:rPr/>
        <w:t xml:space="preserve"> – ne sont pas des exceptions, mais des symptômes récurrents des régimes hypertopiques. Elles montrent que l’hypertrophie d’un pôle ou l’alliance de deux contre le troisième n’est pas une simple pathologie marginale : c’est un mode de verrouillage structurel, observable aussi bien dans les institutions publiques que dans les organisations privées ou les dispositifs transnationaux.</w:t>
      </w:r>
    </w:p>
    <w:p>
      <w:pPr>
        <w:pStyle w:val="Heading4"/>
        <w:numPr>
          <w:ilvl w:val="3"/>
          <w:numId w:val="2"/>
        </w:numPr>
        <w:rPr/>
      </w:pPr>
      <w:r>
        <w:rPr/>
        <w:t>Configurations d’asymétries : compacités fonctionnelles, désactivation du tiers et fragilisation de la dispute</w:t>
      </w:r>
    </w:p>
    <w:p>
      <w:pPr>
        <w:pStyle w:val="BodyText"/>
        <w:rPr/>
      </w:pPr>
      <w:r>
        <w:rPr/>
        <w:t>Toutes les dérives de régulation ne relèvent pas d’un excès unilatéral. Il arrive qu’une configuration apparaisse stable, voire fonctionnelle, par l’articulation efficace de deux pôles — mais que cette compacité même neutralise la troisième fonction essentielle, réduisant la capacité du dispositif à se maintenir dans la durée ou à s’ouvrir à la critique. Ces formes d’asymétrie binaire ne s’observent pas tant par une hypertrophie visible que par un déséquilibre d’alliance : deux fonctions se renforcent mutuellement, rendant la troisième obsolète, inopérante ou décorative.</w:t>
      </w:r>
    </w:p>
    <w:p>
      <w:pPr>
        <w:pStyle w:val="BodyText"/>
        <w:rPr/>
      </w:pPr>
      <w:r>
        <w:rPr/>
        <w:t xml:space="preserve">L’exemple sans doute le plus répandu aujourd’hui est celui de l’accouplement fondement–opération, où une </w:t>
      </w:r>
      <w:r>
        <w:rPr>
          <w:i/>
          <w:iCs/>
        </w:rPr>
        <w:t>arcalité surcodante</w:t>
      </w:r>
      <w:r>
        <w:rPr/>
        <w:t xml:space="preserve"> (forte, explicite, revendiquée) soutient et justifie une </w:t>
      </w:r>
      <w:r>
        <w:rPr>
          <w:i/>
          <w:iCs/>
        </w:rPr>
        <w:t>cratialité</w:t>
      </w:r>
      <w:r>
        <w:rPr/>
        <w:t xml:space="preserve"> intense, rationalisée, automatisée, mais sans aucune scène de différé, de contestation ou d’épreuve contradictoire. C’est le cas de nombreux dispositifs techno-réglementaires, dans lesquels une logique de « valeurs » ou de « principes » (droits fondamentaux, transition écologique, performance éducative) est immédiatement transposée en indicateurs, en outils, en grilles de gestion — sans passer par une délibération ou une médiation. On retrouve cette configuration dans certaines politiques publiques européennes, où le socle normatif est assumé comme donné (ex. : cadre climatique de l’UE) et mis en œuvre via des contrats d’objectifs, des feuilles de route, des outils de </w:t>
      </w:r>
      <w:r>
        <w:rPr>
          <w:i/>
          <w:iCs/>
        </w:rPr>
        <w:t>reporting</w:t>
      </w:r>
      <w:r>
        <w:rPr/>
        <w:t xml:space="preserve"> — sans architecture de recours ni temporalité d’amendement. La fonction archicrative y est réduite à une formalité.</w:t>
      </w:r>
    </w:p>
    <w:p>
      <w:pPr>
        <w:pStyle w:val="BodyText"/>
        <w:rPr/>
      </w:pPr>
      <w:r>
        <w:rPr/>
        <w:t xml:space="preserve">À l’inverse, il existe des cas d’articulation </w:t>
      </w:r>
      <w:r>
        <w:rPr>
          <w:i/>
          <w:iCs/>
        </w:rPr>
        <w:t>archicration–cratialité</w:t>
      </w:r>
      <w:r>
        <w:rPr/>
        <w:t xml:space="preserve">, où la dispute et l’action sont très présentes — mais où le fondement est fuyant, instable, non assumé. C’est typiquement le cas des dispositifs dits « participatifs » sans boussole normative claire. On débat, on consulte, on auditionne, on vote parfois — mais sur la base de critères fluctuants, de valeurs non discutées, ou d’une absence totale de cap commun. Dans certaines conventions citoyennes ou assemblées expérimentales, on mobilise massivement la délibération et l’action collective (amendements, projets pilotes, décisions concrètes), mais sans jamais définir de manière structurée ce qui fonde la légitimité du processus. Les participants eux-mêmes se demandent : </w:t>
      </w:r>
      <w:r>
        <w:rPr>
          <w:i/>
          <w:iCs/>
        </w:rPr>
        <w:t>selon quelle charte ? selon quelle finalité ? selon quelle instance de validation ?</w:t>
      </w:r>
      <w:r>
        <w:rPr/>
        <w:t xml:space="preserve"> Ce déficit de fondement partagé rend la régulation instable — elle tient, mais ne s’oriente pas. Elle produit de l’effervescence sans ancrage.</w:t>
      </w:r>
    </w:p>
    <w:p>
      <w:pPr>
        <w:pStyle w:val="BodyText"/>
        <w:rPr/>
      </w:pPr>
      <w:r>
        <w:rPr/>
        <w:t>Troisième configuration d’asymétrie binaire : celle de l’alliance fondement–dispute, c’est-à-dire une situation dans laquelle des principes forts et des scènes de contestation réelles coexistent — mais sans vecteurs effectifs d’opération ou d’exécution. C’est le cas de certains États où la Constitution garantit une très haute exigence normative (droits fondamentaux, principes éthiques, pluralisme) et où les scènes de critique sont multiples (presse libre, ONG vigilantes, cour constitutionnelle active), mais où la capacité d’opérer ces normes est structurellement empêchée : manque de moyens, défaillance logistique, complexité institutionnelle, sous-administration chronique. L’</w:t>
      </w:r>
      <w:r>
        <w:rPr>
          <w:i/>
          <w:iCs/>
        </w:rPr>
        <w:t>arcalité</w:t>
      </w:r>
      <w:r>
        <w:rPr/>
        <w:t xml:space="preserve"> et l’</w:t>
      </w:r>
      <w:r>
        <w:rPr>
          <w:i/>
          <w:iCs/>
        </w:rPr>
        <w:t>archicration</w:t>
      </w:r>
      <w:r>
        <w:rPr/>
        <w:t xml:space="preserve"> sont en tension vive — mais la </w:t>
      </w:r>
      <w:r>
        <w:rPr>
          <w:i/>
          <w:iCs/>
        </w:rPr>
        <w:t>cratialité</w:t>
      </w:r>
      <w:r>
        <w:rPr/>
        <w:t xml:space="preserve"> est hors service. L’État est « de droit » sur le papier, contesté avec vigueur, mais paralysé dans ses applications. L’effet est une sorte de suspension normative : tout est en droit, tout est contesté, rien n’est réalisé.</w:t>
      </w:r>
    </w:p>
    <w:p>
      <w:pPr>
        <w:pStyle w:val="BodyText"/>
        <w:rPr/>
      </w:pPr>
      <w:r>
        <w:rPr/>
        <w:t>Ces formes d’asymétrie binaire ne sont pas pathologiques en soi. Elles peuvent même, à court terme, assurer une forme de tenue régulatrice minimale. Mais leur vulnérabilité est structurelle : en désactivant l’un des pôles, elles perdent la capacité d’amendement, de régulation différée ou de réancrage critique. C’est pourquoi l’analyse archicratique ne doit pas se satisfaire de détecter des « présences fonctionnelles » mais doit interroger leur différenciation réelle et leur articulation mutuelle.</w:t>
      </w:r>
    </w:p>
    <w:p>
      <w:pPr>
        <w:pStyle w:val="BodyText"/>
        <w:rPr/>
      </w:pPr>
      <w:r>
        <w:rPr/>
        <w:t>Les formes hypertopiques se reconnaissent à plusieurs signes convergents : les décisions sont irréversibles ou rendues telles par l’absence de délai de révision ; les fondements sont inaccessibles à la critique ou naturalisés comme allant de soi ; les scènes d’opposabilité existent mais sans pouvoir effectif de transformation ; les dispositifs sont structurés pour ne pas recevoir d’extérieur induisant l’absence de prise réelle ou de contestation audible.</w:t>
      </w:r>
    </w:p>
    <w:p>
      <w:pPr>
        <w:pStyle w:val="BodyText"/>
        <w:rPr/>
      </w:pPr>
      <w:r>
        <w:rPr/>
        <w:t>C’est précisément cette fermeture des prises — sur le plan du fondement, de l’action ou de la dispute — qui marque la décomposition de la dynamique archicratique. L’analyse ne doit donc pas se limiter à observer la présence ou l’absence de tel ou tel pôle, mais interroger le mode de relation entre eux, leur répartition différentielle, leur possibilité de remise en tension.</w:t>
      </w:r>
    </w:p>
    <w:p>
      <w:pPr>
        <w:pStyle w:val="BodyText"/>
        <w:rPr/>
      </w:pPr>
      <w:r>
        <w:rPr/>
        <w:t>C’est là toute la puissance critique du paradigme : identifier non seulement les formes saturées de pouvoir, mais les logiques de verrouillage différentiel, les alliances internes, les affaissements partiels, les symétries trompeuses. Une forme peut sembler équilibrée parce que chaque pôle est représenté — mais si l’un est neutralisé par excès des deux autres, ou s’il est réduit à un rôle décoratif, alors nous ne sommes plus dans une régulation soutenable, mais dans une forme de clôture fonctionnelle non viable politiquement.</w:t>
      </w:r>
    </w:p>
    <w:p>
      <w:pPr>
        <w:pStyle w:val="BodyText"/>
        <w:rPr/>
      </w:pPr>
      <w:r>
        <w:rPr/>
        <w:t xml:space="preserve">En cela, les </w:t>
      </w:r>
      <w:r>
        <w:rPr>
          <w:i/>
          <w:iCs/>
        </w:rPr>
        <w:t>formes hypertopiques</w:t>
      </w:r>
      <w:r>
        <w:rPr/>
        <w:t xml:space="preserve"> nous enseignent ce que devient une régulation quand elle cesse de s’exposer à l’altérité, quand elle fonctionne trop bien pour être ajustable, ou quand elle désigne ses propres limites comme illégitimes à être contestées.</w:t>
      </w:r>
    </w:p>
    <w:p>
      <w:pPr>
        <w:pStyle w:val="Heading3"/>
        <w:numPr>
          <w:ilvl w:val="2"/>
          <w:numId w:val="2"/>
        </w:numPr>
        <w:rPr/>
      </w:pPr>
      <w:r>
        <w:rPr/>
        <w:t xml:space="preserve">1.5.3 — </w:t>
      </w:r>
      <w:r>
        <w:rPr>
          <w:i/>
          <w:iCs/>
        </w:rPr>
        <w:t>Formes hypotopiques</w:t>
      </w:r>
      <w:r>
        <w:rPr/>
        <w:t xml:space="preserve"> : effacements, désaffiliations et désarrimages</w:t>
      </w:r>
    </w:p>
    <w:p>
      <w:pPr>
        <w:pStyle w:val="BodyText"/>
        <w:rPr/>
      </w:pPr>
      <w:r>
        <w:rPr/>
        <w:t xml:space="preserve">Il est des régulations dont la fragilité réside dans le défaut même d’articulation, dans la carence silencieuse d’un ou plusieurs pôles, non par domination d’un excès, mais par manquements, effacements ou indéterminations. Ces régimes ne sont pas saturés — ils sont désarrimés, désaffiliés, incomplètement ancrés. Ce sont les </w:t>
      </w:r>
      <w:r>
        <w:rPr>
          <w:i/>
          <w:iCs/>
        </w:rPr>
        <w:t>formes hypotopiques</w:t>
      </w:r>
      <w:r>
        <w:rPr/>
        <w:t xml:space="preserve"> : configurations où la triade archicratique ne parvient pas à s’incarner pleinement, soit par inachèvement historique, soit par délitement structurel, soit par marginalisation sociale. Non point des régimes de déséquilibre manifeste — mais de décrochements latents.</w:t>
      </w:r>
    </w:p>
    <w:p>
      <w:pPr>
        <w:pStyle w:val="BodyText"/>
        <w:rPr/>
      </w:pPr>
      <w:r>
        <w:rPr/>
        <w:t>Dans ces situations, ce n’est pas la force excessive d’un pôle qui domine, mais l’effacement progressif ou brutal de l’un de ses vecteurs constitutifs. Cela peut être l’arcalité qui fait défaut, lorsqu’une régulation se poursuit sous des fondements implicites, peu exposables ou dépourvus de justification reconnue. Cela peut être la cratialité qui s’effondre, lorsque les moyens d’opération sont absents, disjoints ou dysfonctionnels. Cela peut être l’archicration qui se dissout, lorsqu’aucune scène effective ne permet plus l’expression du différend, la mise en tension ou la confrontation réglée.</w:t>
      </w:r>
    </w:p>
    <w:p>
      <w:pPr>
        <w:pStyle w:val="BodyText"/>
        <w:rPr/>
      </w:pPr>
      <w:r>
        <w:rPr/>
        <w:t>Un exemple manifeste d’</w:t>
      </w:r>
      <w:r>
        <w:rPr>
          <w:i/>
          <w:iCs/>
        </w:rPr>
        <w:t>hypoarcalité</w:t>
      </w:r>
      <w:r>
        <w:rPr/>
        <w:t xml:space="preserve"> se retrouve dans les dispositifs provisoires ou de crise, où l’action publique se déploie sur fondement implicite, suspendu ou faiblement exposable, dans une zone grise entre droit et exception. L’état d’urgence sanitaire prolongé, la gestion dérogatoire des flux migratoires ou encore les expérimentations territoriales non encadrées sont autant de cas où la </w:t>
      </w:r>
      <w:r>
        <w:rPr>
          <w:i/>
          <w:iCs/>
        </w:rPr>
        <w:t>cratialité</w:t>
      </w:r>
      <w:r>
        <w:rPr/>
        <w:t xml:space="preserve"> et parfois l’</w:t>
      </w:r>
      <w:r>
        <w:rPr>
          <w:i/>
          <w:iCs/>
        </w:rPr>
        <w:t>archicration</w:t>
      </w:r>
      <w:r>
        <w:rPr/>
        <w:t xml:space="preserve"> existent, mais où l’</w:t>
      </w:r>
      <w:r>
        <w:rPr>
          <w:i/>
          <w:iCs/>
        </w:rPr>
        <w:t>arcalité</w:t>
      </w:r>
      <w:r>
        <w:rPr/>
        <w:t xml:space="preserve"> est suspendu, implicite ou réduit à un vague impératif de « nécessité ». Dans ces cas, la légitimité régulatrice s’efface, non pas par volonté autoritaire, mais par inachèvement ou déni de sa propre condition normative. Le pouvoir continue d’agir, mais sur un adossement symbolique, éthique ou juridique faiblement assumé, peu explicité ou difficilement opposable.</w:t>
      </w:r>
    </w:p>
    <w:p>
      <w:pPr>
        <w:pStyle w:val="BodyText"/>
        <w:rPr/>
      </w:pPr>
      <w:r>
        <w:rPr/>
        <w:t xml:space="preserve">À l’inverse, certaines configurations présentent une </w:t>
      </w:r>
      <w:r>
        <w:rPr>
          <w:i/>
          <w:iCs/>
        </w:rPr>
        <w:t>hypocratialité</w:t>
      </w:r>
      <w:r>
        <w:rPr/>
        <w:t xml:space="preserve"> : les intentions sont fortes, les textes abondants, les dispositifs délibératifs multiples — mais l’opérativité est absente ou déficiente. Ce sont les dispositifs de « papier », sur-institutionnalisés et sous-dotés, où les </w:t>
      </w:r>
      <w:r>
        <w:rPr>
          <w:i/>
          <w:iCs/>
        </w:rPr>
        <w:t>arcalités</w:t>
      </w:r>
      <w:r>
        <w:rPr/>
        <w:t xml:space="preserve"> sont proclamées, les </w:t>
      </w:r>
      <w:r>
        <w:rPr>
          <w:i/>
          <w:iCs/>
        </w:rPr>
        <w:t>archicrations</w:t>
      </w:r>
      <w:r>
        <w:rPr/>
        <w:t xml:space="preserve"> ouvertes, mais rien ne se passe. Les plans de transition écologique sans moyens, les comités citoyens sans budget, les programmes d’inclusion numérique sans matériel sont des formes classiques de cette dérive. Le geste politique est performé, mais peu outillé. L’action régulatrice meurt d’épuisement, faute d’infrastructure ou de continuité d’exécution. Le pôle cratial se délite, et avec lui, la consistance de tout l’édifice.</w:t>
      </w:r>
    </w:p>
    <w:p>
      <w:pPr>
        <w:pStyle w:val="BodyText"/>
        <w:rPr/>
      </w:pPr>
      <w:r>
        <w:rPr/>
        <w:t xml:space="preserve">Il existe enfin des </w:t>
      </w:r>
      <w:r>
        <w:rPr>
          <w:i/>
          <w:iCs/>
        </w:rPr>
        <w:t>régimes hypoarchicratifs</w:t>
      </w:r>
      <w:r>
        <w:rPr/>
        <w:t>, dans lesquels les tensions sont étouffées, non par répression ou simulation, mais par désertion. Les scènes de dispute s’éteignent non faute d’autorisation, mais faute de participants, faute de prise, faute d’appel possible. La démocratie locale peut en être le symptôme : dans certains conseils municipaux ruraux, toutes les délibérations sont publiques, les procès-verbaux accessibles, les voies de recours en théorie ouvertes — mais personne n’y vient, personne ne les utilise. L’espace de la critique devient désert, non pas parce qu’on l’empêche, mais parce qu’il n’a plus d’effet. On ne conteste plus ce que l’on ne croit plus modifiable. L’usure de la dispute devient une forme d’abstention persistante.</w:t>
      </w:r>
    </w:p>
    <w:p>
      <w:pPr>
        <w:pStyle w:val="BodyText"/>
        <w:rPr/>
      </w:pPr>
      <w:r>
        <w:rPr/>
        <w:t xml:space="preserve">Ces </w:t>
      </w:r>
      <w:r>
        <w:rPr>
          <w:i/>
          <w:iCs/>
        </w:rPr>
        <w:t>régulations hypotopiques</w:t>
      </w:r>
      <w:r>
        <w:rPr/>
        <w:t xml:space="preserve"> sont redoutables précisément parce qu’elles ne suscitent pas d’alarme immédiate. Elles n’ont ni l’éclat tyrannique des régimes autoritaires, ni le chaos visible des formes délibératives défaillantes. Elles perdurent, parfois longtemps, dans une grande stabilité apparente, faute de tension, de friction, de dispute. Mais c’est une stabilité vide, une paix sans enjeu, un ordre à scène désertée, neutralisée ou pratiquement inopérante.</w:t>
      </w:r>
    </w:p>
    <w:p>
      <w:pPr>
        <w:pStyle w:val="BodyText"/>
        <w:rPr/>
      </w:pPr>
      <w:r>
        <w:rPr/>
        <w:t xml:space="preserve">Le paradigme archicratique nous invite ici à une vigilance particulière : il ne suffit pas de vérifier la présence formelle des trois pôles. Il faut en interroger l’effectivité, la consistance, la vitalité, dans la durée et dans la conflictualité. Une </w:t>
      </w:r>
      <w:r>
        <w:rPr>
          <w:i/>
          <w:iCs/>
        </w:rPr>
        <w:t>arcalité</w:t>
      </w:r>
      <w:r>
        <w:rPr/>
        <w:t xml:space="preserve"> proclamée mais jamais invoquée est un décor. Une </w:t>
      </w:r>
      <w:r>
        <w:rPr>
          <w:i/>
          <w:iCs/>
        </w:rPr>
        <w:t>cratialité</w:t>
      </w:r>
      <w:r>
        <w:rPr/>
        <w:t xml:space="preserve"> active mais sans prise humaine est un automatisme. Une </w:t>
      </w:r>
      <w:r>
        <w:rPr>
          <w:i/>
          <w:iCs/>
        </w:rPr>
        <w:t>archicration</w:t>
      </w:r>
      <w:r>
        <w:rPr/>
        <w:t xml:space="preserve"> ouverte mais inopérante est une illusion procédurale. Ce qui fait régulation n’est pas l’énumération des fonctions, mais leur co-présence dynamique, différenciée, habitée.</w:t>
      </w:r>
    </w:p>
    <w:p>
      <w:pPr>
        <w:pStyle w:val="BodyText"/>
        <w:rPr/>
      </w:pPr>
      <w:r>
        <w:rPr/>
        <w:t xml:space="preserve">Les </w:t>
      </w:r>
      <w:r>
        <w:rPr>
          <w:i/>
          <w:iCs/>
        </w:rPr>
        <w:t>formes hypotopiques</w:t>
      </w:r>
      <w:r>
        <w:rPr/>
        <w:t xml:space="preserve"> sont les signes d’une dérégulation par effacement, non par excès. Et c’est cette extinction silencieuse qui en fait des objets de vigilance majeurs dans les diagnostics archicratiques contemporains.</w:t>
      </w:r>
    </w:p>
    <w:p>
      <w:pPr>
        <w:pStyle w:val="Heading3"/>
        <w:numPr>
          <w:ilvl w:val="2"/>
          <w:numId w:val="2"/>
        </w:numPr>
        <w:rPr/>
      </w:pPr>
      <w:r>
        <w:rPr/>
        <w:t xml:space="preserve">1.5.4 — </w:t>
      </w:r>
      <w:r>
        <w:rPr>
          <w:i/>
          <w:iCs/>
        </w:rPr>
        <w:t>Formes atopiques</w:t>
      </w:r>
      <w:r>
        <w:rPr/>
        <w:t xml:space="preserve"> : déréalisations, vacuités et simulacres</w:t>
      </w:r>
    </w:p>
    <w:p>
      <w:pPr>
        <w:pStyle w:val="BodyText"/>
        <w:rPr/>
      </w:pPr>
      <w:r>
        <w:rPr/>
        <w:t>Il est des dispositifs de régulation où les formes sont présentes, les fonctions identifiables, les terminologies stabilisées — mais où la consistance topologique fait défaut. Ni déséquilibre (hypertopie), ni carence (hypotopie), ni tension co-viable (synchrotopie), ces configurations appartiennent à un autre régime : celui de l’irréalité régulatrice. La structure semble intacte, parfois même sophistiquée, mais les pôles archicratiques n’y trouvent plus qu’un ancrage vidé, mimé, stylisé ou rendu artefact, sans consistance vivante ni effectivité praticable. L’arcalité y est mimée plutôt qu’exposée, la cratialité y est stylisée plutôt que véritablement rendue opérante, l’archicration y est figurée plutôt qu’instituée comme scène de reprise. Nous n’avons plus affaire à une régulation tenue, mais à une scénographie vide de la régulation.</w:t>
      </w:r>
    </w:p>
    <w:p>
      <w:pPr>
        <w:pStyle w:val="BodyText"/>
        <w:rPr/>
      </w:pPr>
      <w:r>
        <w:rPr/>
        <w:t>L’</w:t>
      </w:r>
      <w:r>
        <w:rPr>
          <w:i/>
          <w:iCs/>
        </w:rPr>
        <w:t>atopie</w:t>
      </w:r>
      <w:r>
        <w:rPr/>
        <w:t xml:space="preserve"> n’est pas l’absence pure et simple. Elle est une présence vide, une figuration institutionnelle déconnectée de tout processus régulateur vivant. Elle repose souvent sur des artefacts de légitimation, des outils de pilotage automatisés, des consultations protocolaires — mais dont l’impact sur le réel est nul ou illisible. Tout y est — en apparence : des fondements, des instruments, des scènes de discussion — mais sous des formes vidées de prise, privées de contrepartie effective et incapables de transformation réelle. L’infrastructure normative est creuse, le pilotage est aveugle, la dispute est factice. On y maintient les gestes, les rites, les discours — mais sans prise vivante sur le monde qu’ils prétendent réguler.</w:t>
      </w:r>
    </w:p>
    <w:p>
      <w:pPr>
        <w:pStyle w:val="BodyText"/>
        <w:rPr/>
      </w:pPr>
      <w:r>
        <w:rPr/>
        <w:t>L’atopie ne décrit donc pas une régulation effective amputée de ses pôles, mais un simulacre de régulation dans lequel les prises ne subsistent plus qu’à l’état mimé, vidé ou rendu artefact.</w:t>
      </w:r>
    </w:p>
    <w:p>
      <w:pPr>
        <w:pStyle w:val="BodyText"/>
        <w:rPr/>
      </w:pPr>
      <w:r>
        <w:rPr/>
        <w:t>Cette atopie peut se manifester selon plusieurs figures typiques.</w:t>
      </w:r>
    </w:p>
    <w:p>
      <w:pPr>
        <w:pStyle w:val="Heading4"/>
        <w:numPr>
          <w:ilvl w:val="3"/>
          <w:numId w:val="2"/>
        </w:numPr>
        <w:rPr/>
      </w:pPr>
      <w:r>
        <w:rPr/>
        <w:t>La surinstitutionnalisation fictive</w:t>
      </w:r>
    </w:p>
    <w:p>
      <w:pPr>
        <w:pStyle w:val="BodyText"/>
        <w:rPr/>
      </w:pPr>
      <w:r>
        <w:rPr/>
        <w:t>C’est le cas de certains dispositifs où l’empilement d’instances, de règlements, de procédures produit une illusion de maîtrise régulatrice, alors même que les décisions structurantes sont prises ailleurs, selon d’autres logiques. Par exemple, dans certaines agences parapubliques, le conseil d’administration, les chartes éthiques, les commissions techniques existent sur le papier — mais le pilotage réel est externalisé vers des cabinets de conseil, des logiques budgétaires impératives, ou des pressions politiques informelles. La structure est présente, mais le lieu de pouvoir est déplacé hors topologie. C’est une atopie par délestage invisible.</w:t>
      </w:r>
    </w:p>
    <w:p>
      <w:pPr>
        <w:pStyle w:val="Heading4"/>
        <w:numPr>
          <w:ilvl w:val="3"/>
          <w:numId w:val="2"/>
        </w:numPr>
        <w:rPr/>
      </w:pPr>
      <w:r>
        <w:rPr/>
        <w:t>Le simulacre participatif</w:t>
      </w:r>
    </w:p>
    <w:p>
      <w:pPr>
        <w:pStyle w:val="BodyText"/>
        <w:rPr/>
      </w:pPr>
      <w:r>
        <w:rPr/>
        <w:t xml:space="preserve">Une autre forme courante d’atopie régulatrice réside dans les dispositifs de concertation sans conséquence, où l’archicration est simulée : réunions de citoyens sans suites, plateformes numériques de consultation jamais relues, audits publics dont les recommandations sont ignorées. Le conflit est encadré, mais non traité. Il n’est pas censuré : il est vidé de ses effets. Ce n’est pas que les acteurs ne parlent pas — c’est que leur parole ne modifie rien. Il s’agit d’une </w:t>
      </w:r>
      <w:r>
        <w:rPr>
          <w:i/>
          <w:iCs/>
        </w:rPr>
        <w:t>atopie</w:t>
      </w:r>
      <w:r>
        <w:rPr/>
        <w:t xml:space="preserve"> par captation rituelle du dissensus, où la dispute est autorisée bien que neutralisée dans son opérativité.</w:t>
      </w:r>
    </w:p>
    <w:p>
      <w:pPr>
        <w:pStyle w:val="Heading4"/>
        <w:numPr>
          <w:ilvl w:val="3"/>
          <w:numId w:val="2"/>
        </w:numPr>
        <w:rPr/>
      </w:pPr>
      <w:r>
        <w:rPr/>
        <w:t>L’indicateur sans scène</w:t>
      </w:r>
    </w:p>
    <w:p>
      <w:pPr>
        <w:pStyle w:val="BodyText"/>
        <w:rPr/>
      </w:pPr>
      <w:r>
        <w:rPr/>
        <w:t xml:space="preserve">Dans certaines configurations technocratiques, on produit, on publie, on affiche des indicateurs sophistiqués, des scores de performance, des indices agrégés, supposés piloter l’action. Mais ces données ne sont jamais discutées, ni contextualisées, ni opposables. Elles sont brandies comme preuves d’auto-validation, sans instance d’explication, sans temporalité de révision, sans possibilité de contestation. Ce sont des </w:t>
      </w:r>
      <w:r>
        <w:rPr>
          <w:i/>
          <w:iCs/>
        </w:rPr>
        <w:t>objets cratiaux</w:t>
      </w:r>
      <w:r>
        <w:rPr/>
        <w:t xml:space="preserve"> désarrimés, flottants, incapables de s’articuler à une </w:t>
      </w:r>
      <w:r>
        <w:rPr>
          <w:i/>
          <w:iCs/>
        </w:rPr>
        <w:t>arcalité</w:t>
      </w:r>
      <w:r>
        <w:rPr/>
        <w:t xml:space="preserve"> active ou à une </w:t>
      </w:r>
      <w:r>
        <w:rPr>
          <w:i/>
          <w:iCs/>
        </w:rPr>
        <w:t>archicration</w:t>
      </w:r>
      <w:r>
        <w:rPr/>
        <w:t xml:space="preserve"> structurée. L’outil devient un fétiche opératoire : il agit sans être justifié, sans être discuté, sans même être compris. Elle engendre une atopie de l’intelligence régulatrice.</w:t>
      </w:r>
    </w:p>
    <w:p>
      <w:pPr>
        <w:pStyle w:val="Heading4"/>
        <w:numPr>
          <w:ilvl w:val="3"/>
          <w:numId w:val="2"/>
        </w:numPr>
        <w:rPr/>
      </w:pPr>
      <w:r>
        <w:rPr/>
        <w:t>L’invocation déconnectée</w:t>
      </w:r>
    </w:p>
    <w:p>
      <w:pPr>
        <w:pStyle w:val="BodyText"/>
        <w:rPr/>
      </w:pPr>
      <w:r>
        <w:rPr/>
        <w:t>Enfin, l’atopie peut prendre la forme d’un usage symbolique, rhétorique ou incantatoire de l’</w:t>
      </w:r>
      <w:r>
        <w:rPr>
          <w:i/>
          <w:iCs/>
        </w:rPr>
        <w:t>arcalité</w:t>
      </w:r>
      <w:r>
        <w:rPr/>
        <w:t xml:space="preserve"> : on proclame les « valeurs républicaines », « l’éthique du soin », « le droit international », « les grands principes » — mais sans aucun mécanisme d’activation, d’incarnation ou d’opposabilité. Ce ne sont plus des fondements, mais des signes vidés de prise. Ils ne fondent rien, n’obligent personne, n’ouvrent aucune voie de transformation. C’est une atopie du sens : l’invocation remplace la justification, le slogan tient lieu de scène.</w:t>
      </w:r>
    </w:p>
    <w:p>
      <w:pPr>
        <w:pStyle w:val="BodyText"/>
        <w:rPr/>
      </w:pPr>
      <w:r>
        <w:rPr/>
        <w:t>Ce que révèle l’analyse archicratique, c’est que la vacuité ne s’oppose pas frontalement au pouvoir : elle peut en être la forme la plus stable. Le simulacre est parfois plus durable que l’autoritarisme, car moins repérable, moins conflictuel, plus fluide. Une démocratie peut périr dans l’atopie sans jamais suspendre le droit de vote. Une administration peut devenir autistique sans jamais violer la procédure. Un dispositif de participation peut être déserté par saturation symbolique, non par coercition.</w:t>
      </w:r>
    </w:p>
    <w:p>
      <w:pPr>
        <w:pStyle w:val="BodyText"/>
        <w:rPr/>
      </w:pPr>
      <w:r>
        <w:rPr/>
        <w:t>L’</w:t>
      </w:r>
      <w:r>
        <w:rPr>
          <w:i/>
          <w:iCs/>
        </w:rPr>
        <w:t>atopie</w:t>
      </w:r>
      <w:r>
        <w:rPr/>
        <w:t xml:space="preserve"> est donc le point aveugle de la critique classique. Elle ne se manifeste pas par l’excès de pouvoir, ni par son absence, mais par sa </w:t>
      </w:r>
      <w:r>
        <w:rPr>
          <w:i/>
          <w:iCs/>
        </w:rPr>
        <w:t>simulation creuse</w:t>
      </w:r>
      <w:r>
        <w:rPr/>
        <w:t>. Elle est ce moment où les fonctions sont remplies, mais où les scènes ne sont plus réellement investies, où les liens deviennent inactifs ou purement formels, et où le différé n’est plus institué comme prise effective de reprise, mais seulement figuré ou neutralisé.</w:t>
      </w:r>
    </w:p>
    <w:p>
      <w:pPr>
        <w:pStyle w:val="Heading3"/>
        <w:numPr>
          <w:ilvl w:val="2"/>
          <w:numId w:val="2"/>
        </w:numPr>
        <w:rPr/>
      </w:pPr>
      <w:r>
        <w:rPr/>
        <w:t>Cartographier la tenue régulatrice : vers une pragmatique des formes archicratiques</w:t>
      </w:r>
    </w:p>
    <w:p>
      <w:pPr>
        <w:pStyle w:val="BodyText"/>
        <w:rPr/>
      </w:pPr>
      <w:r>
        <w:rPr/>
        <w:t>Penser la régulation en régime archicratique, c’est saisir des formes vivantes, mouvantes, concrètes. C’est comprendre comment les configurations d’un même triptyque peuvent se maintenir, se tendre, se désarticuler ou se désincarner selon des régimes topologiques distincts. En ce sens, cette section a tenté de formuler une grammaire pragmatique de la stabilité ou de l’instabilité des régulations, au plus près de leurs formes effectives.</w:t>
      </w:r>
    </w:p>
    <w:p>
      <w:pPr>
        <w:pStyle w:val="BodyText"/>
        <w:rPr/>
      </w:pPr>
      <w:r>
        <w:rPr/>
        <w:t xml:space="preserve">Nous avons désigné par </w:t>
      </w:r>
      <w:r>
        <w:rPr>
          <w:i/>
          <w:iCs/>
        </w:rPr>
        <w:t>forme synchrotopique</w:t>
      </w:r>
      <w:r>
        <w:rPr/>
        <w:t xml:space="preserve"> la configuration rare bien que décisive où les pôles archicratiques coexistent dans une tension équilibrée : chaque pôle trouve sa place, sans confusion ni domination, et la régulation reste habitable, amendable, durable. Ce n’est pas une utopie — c’est une possibilité attestée, dont les conditions méritent d’être observées, préservées, soutenues.</w:t>
      </w:r>
    </w:p>
    <w:p>
      <w:pPr>
        <w:pStyle w:val="BodyText"/>
        <w:rPr/>
      </w:pPr>
      <w:r>
        <w:rPr/>
        <w:t xml:space="preserve">Les </w:t>
      </w:r>
      <w:r>
        <w:rPr>
          <w:i/>
          <w:iCs/>
        </w:rPr>
        <w:t>formes hypertopiques</w:t>
      </w:r>
      <w:r>
        <w:rPr/>
        <w:t>, quant à elles, rendent visible la plasticité parfois toxique du paradigme : lorsque l’un ou deux des pôles submergent les autres, soit par hégémonie fondatrice (</w:t>
      </w:r>
      <w:r>
        <w:rPr>
          <w:i/>
          <w:iCs/>
        </w:rPr>
        <w:t>hyperarcalité</w:t>
      </w:r>
      <w:r>
        <w:rPr/>
        <w:t>), soit par captation instrumentale (</w:t>
      </w:r>
      <w:r>
        <w:rPr>
          <w:i/>
          <w:iCs/>
        </w:rPr>
        <w:t>hypercratialité</w:t>
      </w:r>
      <w:r>
        <w:rPr/>
        <w:t>), soit par saturation participative (archicration sans opérativité), la régulation se bloque, s’étiole ou se pervertit. Les dérives y sont patentes, mais leur diagnostic exige plus que des jugements de valeur : il réclame une lecture structurelle, patiente, stratifiée.</w:t>
      </w:r>
    </w:p>
    <w:p>
      <w:pPr>
        <w:pStyle w:val="BodyText"/>
        <w:rPr/>
      </w:pPr>
      <w:r>
        <w:rPr/>
        <w:t xml:space="preserve">Avec les </w:t>
      </w:r>
      <w:r>
        <w:rPr>
          <w:i/>
          <w:iCs/>
        </w:rPr>
        <w:t>formes hypotopiques</w:t>
      </w:r>
      <w:r>
        <w:rPr/>
        <w:t>, le paradigme archicratique affronte une tout autre pathologie : celle de l’effacement, du désarrimage, de la déprise. Il ne s’agit plus ici d’excès, mais de manque : manque de justification, d’effectuation, de dispute. Ce n’est plus la sur-présence d’un pôle qui menace, mais l’effacement, la mise en dormance ou la désactivation apparente des principes actifs de régulation.</w:t>
      </w:r>
    </w:p>
    <w:p>
      <w:pPr>
        <w:pStyle w:val="BodyText"/>
        <w:rPr/>
      </w:pPr>
      <w:r>
        <w:rPr/>
        <w:t>Enfin, les formes atopiques révèlent la possibilité la plus troublante, et sans doute la plus contemporaine : celle de configurations où les pôles sont stylisés et formalisés, mais avec des prises mimées, vidées, à ancrage vivant introuvable, à scène devenue impraticable, et à effectivité régulatrice non soutenable. Ils ne “tiennent” pas au sens fort d’une régulation viable ; ils se maintiennent comme artefacts, comme figures creuses, comme apparences d’ordre. Ce sont les formes vides du pouvoir sans régulation habitable — celles qui appellent une reconstitution critique urgente du politique.</w:t>
      </w:r>
    </w:p>
    <w:p>
      <w:pPr>
        <w:pStyle w:val="BodyText"/>
        <w:rPr/>
      </w:pPr>
      <w:r>
        <w:rPr/>
        <w:t>Ce qui se donne à voir, à travers cette cartographie dynamique des tenues régulatrices, c’est une topologie active du paradigme archicratique : un modèle théorique qui permet de penser non seulement ses composantes, mais leur manière d’apparaître, de s’ordonner, de se désordonner, de se figer et de se dissoudre. Il s’agit d’un dispositif critique, qui articule diagnostic, description et problématisation, en donnant au lecteur — et plus encore, au chercheur, au praticien, au citoyen — des outils de repérage, de discernement, d’action.</w:t>
      </w:r>
    </w:p>
    <w:p>
      <w:pPr>
        <w:pStyle w:val="BodyText"/>
        <w:rPr/>
      </w:pPr>
      <w:r>
        <w:rPr/>
        <w:t>On peut résumer cette typologie de la manière suivante. La forme synchrotopique désigne une configuration dans laquelle les trois pôles demeurent présents, différenciés et articulés de façon suffisamment lisible pour rendre la régulation habitable, amendable et soutenable.</w:t>
      </w:r>
    </w:p>
    <w:p>
      <w:pPr>
        <w:pStyle w:val="BodyText"/>
        <w:rPr/>
      </w:pPr>
      <w:r>
        <w:rPr/>
        <w:t>La forme hypertopique apparaît lorsqu’un ou deux pôles deviennent hégémoniques, écrasent la tension d’ensemble et produisent des effets de verrouillage, de saturation ou d’asymétrie durable.</w:t>
      </w:r>
    </w:p>
    <w:p>
      <w:pPr>
        <w:pStyle w:val="BodyText"/>
        <w:rPr/>
      </w:pPr>
      <w:r>
        <w:rPr/>
        <w:t>La forme hypotopique renvoie, à l’inverse, à des configurations où certaines prises s’effacent, se désaffilient ou se mettent en latence, entraînant une dévitalisation de la régulation.</w:t>
      </w:r>
    </w:p>
    <w:p>
      <w:pPr>
        <w:pStyle w:val="BodyText"/>
        <w:rPr/>
      </w:pPr>
      <w:r>
        <w:rPr/>
        <w:t>Enfin, la forme atopique désigne les situations où les trois pôles subsistent surtout sous une forme mimée, stylisée ou factice, de sorte que la régulation ne tient plus que comme simulacre spectral. Une formalisation synoptique de ces formes, de leurs symptômes et de leurs critères d’alerte est proposée en annexe.</w:t>
      </w:r>
    </w:p>
    <w:p>
      <w:pPr>
        <w:pStyle w:val="BodyText"/>
        <w:rPr/>
      </w:pPr>
      <w:r>
        <w:rPr/>
        <w:t>La section suivante examinera comment ces formes de tenue — et leurs altérations — laissent des traces dans les pratiques, les instruments et les récits. Elle ouvrira ainsi la voie à une archéologie visible des régulations archicratiques et à un diagnostic plus approfondi des scènes politiques contemporaines.</w:t>
      </w:r>
    </w:p>
    <w:p>
      <w:pPr>
        <w:pStyle w:val="Heading2"/>
        <w:numPr>
          <w:ilvl w:val="1"/>
          <w:numId w:val="2"/>
        </w:numPr>
        <w:rPr/>
      </w:pPr>
      <w:r>
        <w:rPr>
          <w:b/>
          <w:bCs/>
        </w:rPr>
        <w:t>1.6 — Repères heuristiques de l’archicratie</w:t>
      </w:r>
    </w:p>
    <w:p>
      <w:pPr>
        <w:pStyle w:val="BodyText"/>
        <w:rPr/>
      </w:pPr>
      <w:r>
        <w:rPr/>
        <w:t>La validité épistémologique d’un paradigme ne se décrète pas : elle se vérifie dans sa capacité à être confronté, disputé et mis à l’épreuve dans et par les régimes qu’il prétend éclairer. Le paradigme archicratique n’échappe pas à cette exigence critique. Sa légitimité théorique ne s’établit que dans sa capacité à rendre compte, avec rigueur analytique, empirique et humaine, des formes de régulation qui structurent les ordres politiques passés et présents, et à en objectiver les défaillances, les tensions et les zones de fragilité, voire d’effondrement symbolique ou existentiel.</w:t>
      </w:r>
    </w:p>
    <w:p>
      <w:pPr>
        <w:pStyle w:val="BodyText"/>
        <w:rPr/>
      </w:pPr>
      <w:r>
        <w:rPr/>
        <w:t>Pour cela, trois conditions cardinales doivent être réunies : la détectabilité, l’intelligibilité et la falsifiabilité du paradigme. Ces trois seuils constituent à eux seuls un test de résistance paradigmatique. Ils permettent de passer de la formalisation théorique à la configuration critique des mondes régulés, où le facteur humain — en tant qu’agent, sujet, vecteur, cible et témoin — demeure le fil rouge de toute scène d’archicration véritable.</w:t>
      </w:r>
    </w:p>
    <w:p>
      <w:pPr>
        <w:pStyle w:val="BodyText"/>
        <w:rPr/>
      </w:pPr>
      <w:r>
        <w:rPr/>
        <w:t>Cette section rassemble des repères heuristiques destinés à discerner, dans les situations, la présence et la différenciation des trois prises — arcalité, cratialité, archicration. Elle ne constitue ni une métrique ni une promesse de quantification.</w:t>
      </w:r>
    </w:p>
    <w:p>
      <w:pPr>
        <w:pStyle w:val="Heading3"/>
        <w:numPr>
          <w:ilvl w:val="2"/>
          <w:numId w:val="2"/>
        </w:numPr>
        <w:rPr/>
      </w:pPr>
      <w:r>
        <w:rPr/>
        <w:t>1.6.1 — Détectabilité : repères heuristiques d’une morphologie observable</w:t>
      </w:r>
    </w:p>
    <w:p>
      <w:pPr>
        <w:pStyle w:val="BodyText"/>
        <w:rPr/>
      </w:pPr>
      <w:r>
        <w:rPr>
          <w:i/>
          <w:iCs/>
        </w:rPr>
        <w:t>Nota bene (périmètre).</w:t>
      </w:r>
      <w:r>
        <w:rPr/>
        <w:t xml:space="preserve"> Ce qui suit propose des repères de repérage et d’élucidation. Il ne s’agit ni d’une métrique ni d’un protocole d’évaluation. La conversion de ces repères en outils normatifs relève d’horizons de recherche ultérieurs.</w:t>
      </w:r>
    </w:p>
    <w:p>
      <w:pPr>
        <w:pStyle w:val="BodyText"/>
        <w:rPr/>
      </w:pPr>
      <w:r>
        <w:rPr/>
        <w:t>Un modèle théorique, si raffiné soit-il, ne gagne sa pertinence qu’à proportion de sa capacité à rendre perceptible et intelligible ce qu’il prétend décrire, et à documenter ce qui, sans lui, demeurerait diffus. Une grille d’analyse du pouvoir doit donc faire apparaître la régulation comme morphologie observable : mettre à nu, dans les dispositifs les plus ténus comme dans les structures les plus massives, les articulations effectives par lesquelles un ordre se constitue, se maintient, se conteste et se transforme.</w:t>
      </w:r>
    </w:p>
    <w:p>
      <w:pPr>
        <w:pStyle w:val="BodyText"/>
        <w:rPr/>
      </w:pPr>
      <w:r>
        <w:rPr/>
        <w:t>Détecter la configuration tripolaire — arcalité (ce qui fonde), cratialité (ce qui opère), archicration (ce qui ouvre la scène de l’épreuve) — revient à en montrer les repères dans l’expérience, l’inscription historique, le discernement politique et, surtout, l’épreuve humaine pour celles et ceux qui y sont pris. Il ne s’agit pas d’une cartographie « neutre », mais d’un travail d’élucidation située qui prend au sérieux voix, gestes, affects et savoirs ordinaires.</w:t>
      </w:r>
    </w:p>
    <w:p>
      <w:pPr>
        <w:pStyle w:val="Heading4"/>
        <w:numPr>
          <w:ilvl w:val="3"/>
          <w:numId w:val="2"/>
        </w:numPr>
        <w:rPr/>
      </w:pPr>
      <w:r>
        <w:rPr/>
        <w:t>Repérage de l’</w:t>
      </w:r>
      <w:r>
        <w:rPr>
          <w:i/>
          <w:iCs/>
        </w:rPr>
        <w:t>arcalité</w:t>
      </w:r>
    </w:p>
    <w:p>
      <w:pPr>
        <w:pStyle w:val="BodyText"/>
        <w:rPr/>
      </w:pPr>
      <w:r>
        <w:rPr/>
        <w:t>L’arcalité désigne le foyer d’énonciation et de légitimation d’un ordre — ce qui est invoqué pour le justifier, l’autoriser et lui donner sens. Elle affleure dans des textes constitutionnels, codes juridiques, mythes fondateurs, récits d’origine, dogmes religieux, doctrines techniques, algorithmes certifiés : autant d’énoncés, normes et symboles conférant une autorité initiale à la régulation. Elle est repérable dans les justifications mobilisées, les procédures d’accréditation, les documents promulgués ou les signatures symboliques revendiquées.</w:t>
      </w:r>
    </w:p>
    <w:p>
      <w:pPr>
        <w:pStyle w:val="BodyText"/>
        <w:rPr/>
      </w:pPr>
      <w:r>
        <w:rPr/>
        <w:t>Mais l’</w:t>
      </w:r>
      <w:r>
        <w:rPr>
          <w:i/>
          <w:iCs/>
        </w:rPr>
        <w:t>arcalité</w:t>
      </w:r>
      <w:r>
        <w:rPr/>
        <w:t xml:space="preserve"> n’est pas purement documentaire : elle est aussi horizon de sens vécu. Elle peut être intériorisée comme autorité, ressentie comme violence symbolique, expérimentée comme langage de légitimation — consenti, contredit ou réinterprété. Sa détectabilité implique donc, au-delà des textes, une attention aux récits de soumission, adhésion, dissidence ou transgression. L’autorité ne se réduit pas à sa proclamation : encore faut-il décrire comment elle existe pour les acteurs qui la perçoivent, la manipulent ou la retournent.</w:t>
      </w:r>
    </w:p>
    <w:p>
      <w:pPr>
        <w:pStyle w:val="BodyText"/>
        <w:rPr/>
      </w:pPr>
      <w:r>
        <w:rPr/>
        <w:t>Ainsi, dans un dispositif de surveillance algorithmique, l’</w:t>
      </w:r>
      <w:r>
        <w:rPr>
          <w:i/>
          <w:iCs/>
        </w:rPr>
        <w:t>arcalité</w:t>
      </w:r>
      <w:r>
        <w:rPr/>
        <w:t xml:space="preserve"> réside dans la « </w:t>
      </w:r>
      <w:r>
        <w:rPr>
          <w:i/>
          <w:iCs/>
        </w:rPr>
        <w:t>source de vérité</w:t>
      </w:r>
      <w:r>
        <w:rPr/>
        <w:t xml:space="preserve"> » (algorithme validé, données d’apprentissage, critères d’alerte). Les questions décisives deviennent alors : </w:t>
      </w:r>
      <w:r>
        <w:rPr>
          <w:i/>
          <w:iCs/>
        </w:rPr>
        <w:t>qui établit ces critères, quand, sous quelle autorité, avec quelles justifications, par quelles modalités ?</w:t>
      </w:r>
      <w:r>
        <w:rPr/>
        <w:t xml:space="preserve"> L’enjeu ne se limite pas à la technique : il engage un régime de légitimation vécu, c’est-à-dire l’horizon de sens dans lequel des existences se trouvent inscrites.</w:t>
      </w:r>
    </w:p>
    <w:p>
      <w:pPr>
        <w:pStyle w:val="Heading4"/>
        <w:numPr>
          <w:ilvl w:val="3"/>
          <w:numId w:val="2"/>
        </w:numPr>
        <w:rPr/>
      </w:pPr>
      <w:r>
        <w:rPr/>
        <w:t xml:space="preserve">Repérage de la </w:t>
      </w:r>
      <w:r>
        <w:rPr>
          <w:i/>
          <w:iCs/>
        </w:rPr>
        <w:t>cratialité</w:t>
      </w:r>
    </w:p>
    <w:p>
      <w:pPr>
        <w:pStyle w:val="BodyText"/>
        <w:rPr/>
      </w:pPr>
      <w:r>
        <w:rPr/>
        <w:t xml:space="preserve">La </w:t>
      </w:r>
      <w:r>
        <w:rPr>
          <w:i/>
          <w:iCs/>
        </w:rPr>
        <w:t>cratialité</w:t>
      </w:r>
      <w:r>
        <w:rPr/>
        <w:t xml:space="preserve"> désigne les vecteurs effectifs d’exercice d’un ordre. Elle s’inscrit dans des infrastructures et organisations qui rendent la régulation opérante : réseaux, administrations, logiciels, interfaces, chaînes logistiques, bureaux, tableaux de suivi. C’est la trame opérationnelle par laquelle l’autorité fondatrice se traduit en décisions, effectuations, procédures, sanctions, prestations, interdictions ou allocations. Elle se repère dans des mécanismes concrets : chaînes d’exécution, délais, seuils automatiques, files d’attente, écrans de saisie, organigrammes.</w:t>
      </w:r>
    </w:p>
    <w:p>
      <w:pPr>
        <w:pStyle w:val="BodyText"/>
        <w:rPr/>
      </w:pPr>
      <w:r>
        <w:rPr/>
        <w:t xml:space="preserve">Cette dimension est inséparable de l’épreuve humaine : la </w:t>
      </w:r>
      <w:r>
        <w:rPr>
          <w:i/>
          <w:iCs/>
        </w:rPr>
        <w:t>cratialité</w:t>
      </w:r>
      <w:r>
        <w:rPr/>
        <w:t xml:space="preserve"> se donne comme frictions et fluidités, attentes et instantanéités, opacités et injonctions muettes, gestes de guichet et automates décisionnels. La détecter suppose d’écouter les citoyens, usagers, agents, travailleurs, fonctionnaires, et de reconstituer l’expérience vécue du pouvoir opérant — ses effets de puissance, stress, incertitude, humiliation ou effacement, mais aussi de soulagement et de reconnaissance. L’analyse technique peut être utile ; elle gagne à se doubler d’une ethnographie fine des mises en œuvre.</w:t>
      </w:r>
    </w:p>
    <w:p>
      <w:pPr>
        <w:pStyle w:val="BodyText"/>
        <w:rPr/>
      </w:pPr>
      <w:r>
        <w:rPr/>
        <w:t xml:space="preserve">Exemple : dans un service public numérisé, la </w:t>
      </w:r>
      <w:r>
        <w:rPr>
          <w:i/>
          <w:iCs/>
        </w:rPr>
        <w:t>cratialité</w:t>
      </w:r>
      <w:r>
        <w:rPr/>
        <w:t xml:space="preserve"> apparaît dans les logiciels de traitement, interfaces usagers, circuits de validation, temps de réponse ; elle se ressent dans l’attente, la contestation, le travail d’interprétation des règles par les agents, l’amortissement des chocs. Elle se loge à la fois dans la matérialité des dispositifs et dans les médiations moins visibles de la puissance, ainsi que dans le tissu des interactions qui les portent et les modulent.</w:t>
      </w:r>
    </w:p>
    <w:p>
      <w:pPr>
        <w:pStyle w:val="Heading4"/>
        <w:numPr>
          <w:ilvl w:val="3"/>
          <w:numId w:val="2"/>
        </w:numPr>
        <w:rPr/>
      </w:pPr>
      <w:r>
        <w:rPr/>
        <w:t>Repérage de l’</w:t>
      </w:r>
      <w:r>
        <w:rPr>
          <w:i/>
          <w:iCs/>
        </w:rPr>
        <w:t>archicration</w:t>
      </w:r>
    </w:p>
    <w:p>
      <w:pPr>
        <w:pStyle w:val="BodyText"/>
        <w:rPr/>
      </w:pPr>
      <w:r>
        <w:rPr/>
        <w:t>L’</w:t>
      </w:r>
      <w:r>
        <w:rPr>
          <w:i/>
          <w:iCs/>
        </w:rPr>
        <w:t>archicration</w:t>
      </w:r>
      <w:r>
        <w:rPr/>
        <w:t xml:space="preserve"> désigne l’espace-temps institué où une décision peut être interrogée, une justification contestée, un effet rapporté, un critère rediscuté. Elle n’est pas réductible aux contre-pouvoirs formels de l’État de droit : elle peut se manifester dans un recours gracieux, un droit d’appel, une commission d’examen, une médiation, un délai suspensif, un forum public, un espace médiatique reconnu, un rituel de palabre, un conseil de village. Les formes sont multiples, mais la fonction demeure la même : instituer du recours et du différé là où le pouvoir accepte de se justifier et de supporter le contradictoire.</w:t>
      </w:r>
    </w:p>
    <w:p>
      <w:pPr>
        <w:pStyle w:val="BodyText"/>
        <w:rPr/>
      </w:pPr>
      <w:r>
        <w:rPr/>
        <w:t xml:space="preserve">Pour éviter toute extension excessive du concept, il faut cependant en préciser le seuil minimal. Une scène ne peut être dite archicratique au sens strict que si trois conditions sont réunies. D’abord, une </w:t>
      </w:r>
      <w:r>
        <w:rPr>
          <w:i/>
          <w:iCs/>
        </w:rPr>
        <w:t>condition de comparution</w:t>
      </w:r>
      <w:r>
        <w:rPr/>
        <w:t xml:space="preserve"> : les existences affectées, ou leurs mandataires, doivent pouvoir apparaître dans un espace où la décision ne les traite pas seulement comme objets de gestion. Ensuite, une </w:t>
      </w:r>
      <w:r>
        <w:rPr>
          <w:i/>
          <w:iCs/>
        </w:rPr>
        <w:t>condition d’explicitation</w:t>
      </w:r>
      <w:r>
        <w:rPr/>
        <w:t xml:space="preserve"> : les critères, motifs, chaînes opératoires ou justifications en cause doivent pouvoir être rendus intelligibles, au moins dans une mesure suffisante pour ouvrir une contradiction. Enfin, une </w:t>
      </w:r>
      <w:r>
        <w:rPr>
          <w:i/>
          <w:iCs/>
        </w:rPr>
        <w:t>condition de reprise</w:t>
      </w:r>
      <w:r>
        <w:rPr/>
        <w:t xml:space="preserve"> : la scène doit disposer d’une capacité réelle de révision, de requalification ou de suspension, et non d’une simple fonction expressive sans effet.</w:t>
      </w:r>
    </w:p>
    <w:p>
      <w:pPr>
        <w:pStyle w:val="BodyText"/>
        <w:rPr/>
      </w:pPr>
      <w:r>
        <w:rPr/>
        <w:t>Là où l’une de ces conditions manque, il peut subsister de la procédure, de la plainte, de la consultation, voire un décor d’ouverture ; mais il ne s’agit pas encore d’archicration à proprement parler. On entre alors dans les régimes de simulation, d’oblitération ou de neutralisation scénique.</w:t>
      </w:r>
    </w:p>
    <w:p>
      <w:pPr>
        <w:pStyle w:val="BodyText"/>
        <w:rPr/>
      </w:pPr>
      <w:r>
        <w:rPr/>
        <w:t>La détectabilité de l’</w:t>
      </w:r>
      <w:r>
        <w:rPr>
          <w:i/>
          <w:iCs/>
        </w:rPr>
        <w:t>archicration</w:t>
      </w:r>
      <w:r>
        <w:rPr/>
        <w:t xml:space="preserve"> ne consiste pas uniquement à pointer des procédures sur un organigramme. Elle s’éprouve dans la possibilité effective de raconter ce qui a été subi, revendiquer un droit, demander révision, formuler l’écart, instituer un débat. Elle s’indexe sur la capacité d’écoute du dissensus et l’intégration de la conflictualité dans les formes de régulation. Détecter l’</w:t>
      </w:r>
      <w:r>
        <w:rPr>
          <w:i/>
          <w:iCs/>
        </w:rPr>
        <w:t>archicration</w:t>
      </w:r>
      <w:r>
        <w:rPr/>
        <w:t xml:space="preserve"> suppose donc d’observer à la fois des dispositifs d’expression et des trajectoires vécues : accessibilité réelle des recours, lisibilité des démarches, possibilité concrète pour les personnes concernées de se faire entendre.</w:t>
      </w:r>
    </w:p>
    <w:p>
      <w:pPr>
        <w:pStyle w:val="BodyText"/>
        <w:rPr/>
      </w:pPr>
      <w:r>
        <w:rPr/>
        <w:t>À titre d’illustration, un système d’attribution automatisée d’aides sociales manifeste une présence d’</w:t>
      </w:r>
      <w:r>
        <w:rPr>
          <w:i/>
          <w:iCs/>
        </w:rPr>
        <w:t>archicration</w:t>
      </w:r>
      <w:r>
        <w:rPr/>
        <w:t xml:space="preserve"> lorsqu’il prévoit — de façon concrète et accessible — une scène différée d’examen humain : un temps de suspension de la décision automatique, un lieu où l’usager expose sa singularité, où l’agent peut corriger l’automate, où le récit retrouve droit de cité. Il s’agit d’un critère de lecture, non d’une norme d’évaluation.</w:t>
      </w:r>
    </w:p>
    <w:p>
      <w:pPr>
        <w:pStyle w:val="BodyText"/>
        <w:rPr/>
      </w:pPr>
      <w:r>
        <w:rPr/>
        <w:t>En somme, la détectabilité est ici un geste critique et herméneutique : reconstruire, à partir d’archives et d’expériences vécues, le système de justification, d’opération et de mise à l’épreuve d’un ordre donné. Sous la surface des procédures, il s’agit de faire réapparaître le théâtre vivant du pouvoir — textes, infrastructures et scènes de parole —, et de restituer aux sujets leur rôle de témoins, acteurs et critiques dans la configuration du politique, quel que soit le domaine d’inscription.</w:t>
      </w:r>
    </w:p>
    <w:p>
      <w:pPr>
        <w:pStyle w:val="Heading3"/>
        <w:numPr>
          <w:ilvl w:val="2"/>
          <w:numId w:val="2"/>
        </w:numPr>
        <w:rPr/>
      </w:pPr>
      <w:r>
        <w:rPr/>
        <w:t>1.6.2 — Repères heuristiques pour l’intelligibilité des régulations</w:t>
      </w:r>
    </w:p>
    <w:p>
      <w:pPr>
        <w:pStyle w:val="BodyText"/>
        <w:rPr/>
      </w:pPr>
      <w:r>
        <w:rPr/>
        <w:t>L’archicratie, destinée à saisir autrement les modalités différenciées, évolutives et souvent opaques de la régulation dans les sociétés humaines, n’entend pas livrer ici un instrument de mesure, mais proposer une grammaire de discernement — ancrée dans la triade arcalité–cratialité–archicration — pour éclairer des situations concrètes et situées.</w:t>
      </w:r>
    </w:p>
    <w:p>
      <w:pPr>
        <w:pStyle w:val="BodyText"/>
        <w:rPr/>
      </w:pPr>
      <w:r>
        <w:rPr/>
        <w:t>Nous vivons un moment où l’opérativité est fréquemment dévoyée par la prolifération de mesures pseudo-scientifiques élevées au rang de dispositifs de vérité à scène neutralisée, comprimée ou relocalisée hors d’atteinte. Tableaux de bord, indicateurs de performance, grilles d’évaluation, algorithmes prédictifs et plateformes de pilotage étendent ainsi une régulation dont la scène d’épreuve se trouve neutralisée : les sources demeurent insuffisamment explicitées, les mécanismes ne sont pas pratiquement exposables, et le différé interprétatif devient fictif ou inopérant. Sous prétexte de rationalisation, ces dispositifs normaient l’action en amont et resserraient en aval les marges du possible. La mesure tend alors à se faire sa propre justification, neutralisant le conflit constitutif du social et minant les conditions mêmes d’une archicration effective.</w:t>
      </w:r>
    </w:p>
    <w:p>
      <w:pPr>
        <w:pStyle w:val="BodyText"/>
        <w:rPr/>
      </w:pPr>
      <w:r>
        <w:rPr/>
        <w:t>Face à cette saturation instrumentale, la tâche du paradigme archicratique est plus modeste et plus exigeante : non pas proposer un outil de pilotage alternatif, ni concurrencer les instruments existants sur leur terrain, mais offrir des repères heuristiques pour identifier des formes différenciées de légitimation, d’opération et de contestation dans des contextes socio-politiques, historiques et institutionnels situés. Ces repères ne visent ni universalité formelle ni exclusivité, mais pertinence contextualisée. Ils se proposent comme scène d’interprétation ouverte, susceptible d’être discutée et ajustée par les acteurs. Ils forment une matrice de discernement, non un schéma d’application.</w:t>
        <w:br/>
        <w:t>Nota bene : la conversion de ces repères en protocoles d’évaluation relève d’un programme ultérieur, non traité dans l’ouvrage.</w:t>
      </w:r>
    </w:p>
    <w:p>
      <w:pPr>
        <w:pStyle w:val="BodyText"/>
        <w:rPr/>
      </w:pPr>
      <w:r>
        <w:rPr/>
        <w:t>C’est à cette condition que la lecture archicratique fera apparaître ce qui, dans les dispositifs contemporains, relève d’un agencement intelligible et modifiable des trois pôles régulateurs, et mettra en lumière ce qui oblitère la visibilité, l’appropriation et la possibilité de remédiation par les sujets concernés. Loin de prétendre tout voir, il s’agit d’offrir une grille de lecture capable de faire réapparaître certains plans invisibilisés, de faire entendre ce qui fut disqualifié comme bruit, et de signifier ce qui a été neutralisé sous forme d’automatismes ou de protocoles techniques.</w:t>
      </w:r>
    </w:p>
    <w:p>
      <w:pPr>
        <w:pStyle w:val="BodyText"/>
        <w:rPr/>
      </w:pPr>
      <w:r>
        <w:rPr/>
        <w:t>Dans cette perspective, l’analyse des régimes de régulation suppose d’abord d’identifier, dans un contexte donné, les modalités de fondation, d’exécution et de mise en scène de la contestation de l’ordre institué. L’</w:t>
      </w:r>
      <w:r>
        <w:rPr>
          <w:i/>
          <w:iCs/>
        </w:rPr>
        <w:t>arcalité</w:t>
      </w:r>
      <w:r>
        <w:rPr/>
        <w:t xml:space="preserve"> désigne la forme sous laquelle un dispositif affirme son autorité première, c’est-à-dire la source à laquelle il s’adosse pour légitimer son existence (norme juridique explicite, récit fondateur, mandat expert, artefact technologique, morale partagée, impératif supposé indiscutable — santé publique, sécurité nationale, intérêt général, etc.).</w:t>
      </w:r>
    </w:p>
    <w:p>
      <w:pPr>
        <w:pStyle w:val="BodyText"/>
        <w:rPr/>
      </w:pPr>
      <w:r>
        <w:rPr/>
        <w:t>L’analyse de l’</w:t>
      </w:r>
      <w:r>
        <w:rPr>
          <w:i/>
          <w:iCs/>
        </w:rPr>
        <w:t>arcalité</w:t>
      </w:r>
      <w:r>
        <w:rPr/>
        <w:t xml:space="preserve"> interroge la nature de cette source, sa provenance, son niveau de formalisation, son degré de lisibilité, sa disponibilité publique, sa capacité à être remise en question et, surtout, sa manière d’être éprouvée, contestée ou naturalisée par les individus qui y sont soumis. Car une </w:t>
      </w:r>
      <w:r>
        <w:rPr>
          <w:i/>
          <w:iCs/>
        </w:rPr>
        <w:t>arcalité</w:t>
      </w:r>
      <w:r>
        <w:rPr/>
        <w:t xml:space="preserve"> peut être invoquée tout en demeurant hermétique ou inaccessible (p. ex. modèles d’apprentissage opaques), ou au contraire ne jamais être explicite et pourtant régir puissamment les comportements (normes morales intériorisées).</w:t>
      </w:r>
    </w:p>
    <w:p>
      <w:pPr>
        <w:pStyle w:val="BodyText"/>
        <w:rPr/>
      </w:pPr>
      <w:r>
        <w:rPr/>
        <w:t>Ainsi, un système d’allocation automatisée des aides sociales peut reposer sur un algorithme certifié par une autorité technique, dont la logique de calcul est protégée par le secret des affaires ou rendue illisible par sa complexité. L’</w:t>
      </w:r>
      <w:r>
        <w:rPr>
          <w:i/>
          <w:iCs/>
        </w:rPr>
        <w:t>arcalité</w:t>
      </w:r>
      <w:r>
        <w:rPr/>
        <w:t xml:space="preserve"> y est présente (invoquée comme fondement) et absente (indéchiffrable, inappropriable, irréversible). Le fondement devient injonction ; la légitimation, énoncé clôturé. L’enjeu n’est pas exclusivement la formalisation de la source, mais son accessibilité, sa traduction, sa contestation et, ultimement, sa possibilité d’appropriation discursive et politique.</w:t>
      </w:r>
    </w:p>
    <w:p>
      <w:pPr>
        <w:pStyle w:val="BodyText"/>
        <w:rPr/>
      </w:pPr>
      <w:r>
        <w:rPr/>
        <w:t xml:space="preserve">La </w:t>
      </w:r>
      <w:r>
        <w:rPr>
          <w:i/>
          <w:iCs/>
        </w:rPr>
        <w:t>cratialité</w:t>
      </w:r>
      <w:r>
        <w:rPr/>
        <w:t xml:space="preserve"> engage la matérialité de la régulation : vecteurs par lesquels le pouvoir fondateur se déploie dans les corps, infrastructures, interfaces, institutions, séquences de décision, outils de traitement, supports de validation, temporalités d’exécution. Il s’agit d’en reconstituer la texture — matérielle, affective, temporelle — et d’en restituer la configuration d’ensemble.</w:t>
      </w:r>
    </w:p>
    <w:p>
      <w:pPr>
        <w:pStyle w:val="BodyText"/>
        <w:rPr/>
      </w:pPr>
      <w:r>
        <w:rPr/>
        <w:t xml:space="preserve">Prenons un service public numérisé où les usagers passent par un portail en ligne pour faire valoir leurs droits. Si l’interface est difficile d’accès, les délais imprévisibles, les interlocuteurs introuvables, les rejets automatiques systématiques et le cheminement du dossier intraçable, la </w:t>
      </w:r>
      <w:r>
        <w:rPr>
          <w:i/>
          <w:iCs/>
        </w:rPr>
        <w:t>cratialité</w:t>
      </w:r>
      <w:r>
        <w:rPr/>
        <w:t xml:space="preserve"> devient désincarnée. Le pouvoir agit sans médiation perceptible, sans mémoire explicite, sans sujet identifiable : il se transmute en anonymat algorithmique. La lecture archicratique vise alors à rendre lisible cette expérience — non pour l’évaluer selon des standards extérieurs, mais pour en reconstruire la structure invisible, nommer la scène manquante et préparer l’élucidation critique.</w:t>
      </w:r>
    </w:p>
    <w:p>
      <w:pPr>
        <w:pStyle w:val="BodyText"/>
        <w:rPr/>
      </w:pPr>
      <w:r>
        <w:rPr/>
        <w:t>Enfin, l’</w:t>
      </w:r>
      <w:r>
        <w:rPr>
          <w:i/>
          <w:iCs/>
        </w:rPr>
        <w:t>archicration</w:t>
      </w:r>
      <w:r>
        <w:rPr/>
        <w:t xml:space="preserve"> constitue le point névralgique de la lecture archicratique. Elle ne se réduit ni au droit au recours formel ni à une contradiction abstraite : elle désigne la scène instituée, différée, située, où le pouvoir se laisse interroger, où la décision devient amendable, où le fondement redevient discours. Instance juridictionnelle, médiation, espace de débat, conseil pluraliste, rituel, forum numérique, procédure contradictoire, délai suspensif : la forme importe moins que la possibilité effective pour les agents affectés de faire entendre leur voix, demander des comptes, suspendre, raconter une autre version, transformer le dispositif en scène contradictoire.</w:t>
      </w:r>
    </w:p>
    <w:p>
      <w:pPr>
        <w:pStyle w:val="BodyText"/>
        <w:rPr/>
      </w:pPr>
      <w:r>
        <w:rPr/>
        <w:t>Une régulation privée d’archicration effective est une régulation sans visage. Une décision sans différé praticable est une décision sans interlocuteur. Là où le contradictoire disparaît ou devient inopérant, vacille non seulement la démocratie, mais la capacité d’une société à se représenter comme traversée de conflits et de désaccords potentiellement féconds. La lecture archicratique consiste à repérer, dans chaque dispositif, les conditions minimales d’une telle scène, à diagnostiquer les formes de son effacement et à préfigurer les moyens de sa réapparition. L’archicration n’est pas un supplément : elle est la condition de possibilité de toute régulation viable.</w:t>
      </w:r>
    </w:p>
    <w:p>
      <w:pPr>
        <w:pStyle w:val="BodyText"/>
        <w:rPr/>
      </w:pPr>
      <w:r>
        <w:rPr/>
        <w:t>Une telle lecture ne peut être univoque ni standardisée. Elle suppose une approche située, transversale, dialogique, mobilisant des savoirs institutionnels, juridiques, techniques, mais aussi ethnographiques, narratifs, subjectifs. Elle engage des compétences et lectures croisées, et exige que les sujets soient parties prenantes de l’interprétation. C’est dans les récits, résistances, bifurcations, plaintes et silences que la régulation — ou son absence — devient visible. C’est dans les marges, interstices et incidents que l’</w:t>
      </w:r>
      <w:r>
        <w:rPr>
          <w:i/>
          <w:iCs/>
        </w:rPr>
        <w:t>archicratie</w:t>
      </w:r>
      <w:r>
        <w:rPr/>
        <w:t xml:space="preserve"> trouve sa matière vive.</w:t>
      </w:r>
    </w:p>
    <w:p>
      <w:pPr>
        <w:pStyle w:val="BodyText"/>
        <w:rPr/>
      </w:pPr>
      <w:r>
        <w:rPr/>
        <w:t>Ainsi conçue, l’élucidation archicratique n’est ni une opération de gestion ni une méthodologie de contrôle. Elle est un acte d’intelligibilité politique, une tentative d’éveil critique, une réouverture des possibles, une structure de discernement rendant les dispositifs lisibles, discutables, réparables. Elle ne clôt pas le réel, elle l’ouvre ; elle ne fige pas le pouvoir, elle le met en scène ; elle ne définit pas l’ordre, elle en institue la critique — afin qu’aucune régulation n’échappe à la lumière du langage, à l’épreuve du différé, et à la mémoire des vivants.</w:t>
      </w:r>
    </w:p>
    <w:p>
      <w:pPr>
        <w:pStyle w:val="Heading3"/>
        <w:numPr>
          <w:ilvl w:val="2"/>
          <w:numId w:val="2"/>
        </w:numPr>
        <w:rPr/>
      </w:pPr>
      <w:r>
        <w:rPr/>
        <w:t>1.6.3 — Ouverture critique et révision</w:t>
      </w:r>
    </w:p>
    <w:p>
      <w:pPr>
        <w:pStyle w:val="BodyText"/>
        <w:rPr/>
      </w:pPr>
      <w:r>
        <w:rPr/>
        <w:t>Toute proposition paradigmatique qui aspire à valoir comme grille d’intelligibilité du réel doit intégrer la possibilité de sa propre révision. Sans réactiver un dogme positiviste, il s’agit d’adopter une éthique de l’exposition : la pensée de la régulation doit se laisser relire, amender, déplacer — comme une archicration appliquée à la théorie elle-même.</w:t>
      </w:r>
    </w:p>
    <w:p>
      <w:pPr>
        <w:pStyle w:val="BodyText"/>
        <w:rPr/>
      </w:pPr>
      <w:r>
        <w:rPr/>
        <w:t>L’enjeu n’est pas d’ériger un tribunal métrique extérieur, mais d’intégrer à même le paradigme des gestes d’auto-examen : expliciter ses conditions de validité, reconnaître ses angles morts, décrire ses zones d’indifférence et assumer la possibilité qu’il ne suffise pas à rendre intelligibles certaines configurations. La théorie renonce ainsi à se faire verrou ; elle se donne comme scène.</w:t>
      </w:r>
    </w:p>
    <w:p>
      <w:pPr>
        <w:pStyle w:val="BodyText"/>
        <w:rPr/>
      </w:pPr>
      <w:r>
        <w:rPr/>
        <w:t xml:space="preserve">Concrètement, cela implique de confronter la triade </w:t>
      </w:r>
      <w:r>
        <w:rPr>
          <w:i/>
          <w:iCs/>
        </w:rPr>
        <w:t>arcalité–cratialité–archicration</w:t>
      </w:r>
      <w:r>
        <w:rPr/>
        <w:t xml:space="preserve"> à des situations où ses prises sont difficiles à repérer, ou se confondent. Si, face à un régime communautaire non étatique (logiques d’honneur, réputation, équilibres symboliques), les prises se dissolvent à la lecture, le constat n’invalide pas la proposition : il borne son champ d’application, affine ses seuils de lisibilité, complexifie ses opérateurs (intégrer le silence comme forme, l’invisible comme matrice, l’inappropriable comme symptôme).</w:t>
      </w:r>
    </w:p>
    <w:p>
      <w:pPr>
        <w:pStyle w:val="BodyText"/>
        <w:rPr/>
      </w:pPr>
      <w:r>
        <w:rPr/>
        <w:t>De même, il convient de distinguer les scènes formelles (droit au recours) des scènes effectives (pouvoir réel de faire valoir un récit contraire). Les simulacres d’</w:t>
      </w:r>
      <w:r>
        <w:rPr>
          <w:i/>
          <w:iCs/>
        </w:rPr>
        <w:t>archicration</w:t>
      </w:r>
      <w:r>
        <w:rPr/>
        <w:t xml:space="preserve"> — décor procédural sans différé véritable — doivent pouvoir être nommés comme tels : non par une mesure, mais par une lecture critique des conditions qui rendent ou non audible le dissentiment ou le dissensus.</w:t>
      </w:r>
    </w:p>
    <w:p>
      <w:pPr>
        <w:pStyle w:val="BodyText"/>
        <w:rPr/>
      </w:pPr>
      <w:r>
        <w:rPr/>
        <w:t>Cette ouverture critique a une double vertu : elle maintient le paradigme comme outil de lecture (plutôt qu’un gabarit qui écrase le réel) et elle l’immunise contre son propre fétichisme (la régulation sans scène ne doit pas devenir une lecture sans scène d’elle-même). Son lieu de véridiction est celui d’une exposition continue à la discussion, à la révision et à la co-élaboration.</w:t>
      </w:r>
    </w:p>
    <w:p>
      <w:pPr>
        <w:pStyle w:val="BodyText"/>
        <w:rPr/>
      </w:pPr>
      <w:r>
        <w:rPr>
          <w:i/>
          <w:iCs/>
        </w:rPr>
        <w:t>Clause de périmètre.</w:t>
      </w:r>
      <w:r>
        <w:rPr/>
        <w:t xml:space="preserve"> Les modalités concrètes d’une telle révision (protocoles, comparaisons systématiques, simulations éventuelles) relèvent d’horizons de recherche ultérieurs. Le présent essai se limite consciemment à fonder l’hypothèse archicratique et à en déployer la grammaire. Rien de plus, rien de moins.</w:t>
      </w:r>
    </w:p>
    <w:p>
      <w:pPr>
        <w:pStyle w:val="Heading3"/>
        <w:numPr>
          <w:ilvl w:val="2"/>
          <w:numId w:val="2"/>
        </w:numPr>
        <w:rPr/>
      </w:pPr>
      <w:r>
        <w:rPr/>
        <w:t>1.6.4 — Scènes, seuils, temporalités : vers une grammaire des différés archicratiques</w:t>
      </w:r>
    </w:p>
    <w:p>
      <w:pPr>
        <w:pStyle w:val="BodyText"/>
        <w:rPr/>
      </w:pPr>
      <w:r>
        <w:rPr/>
        <w:t xml:space="preserve">Ce qui permet à un ordre d’exister autrement que comme pur mécanisme, ce n’est ni la seule justification qu’il se donne, ni la seule puissance par laquelle il s’exécute, mais le lieu — concret, institué, habitable — où il consent à paraître et à se laisser reprendre. Nous appelons « </w:t>
      </w:r>
      <w:r>
        <w:rPr>
          <w:i/>
          <w:iCs/>
        </w:rPr>
        <w:t>scène</w:t>
      </w:r>
      <w:r>
        <w:rPr/>
        <w:t xml:space="preserve"> » cet espace-temps où la décision quitte l’opacité des coulisses, accepte la lumière, endosse l’obligation de répondre, et reconnaît à ceux qu’elle affecte le droit d’une parole qui ne soit ni supplique ni bruit, mais adresse recevable. La </w:t>
      </w:r>
      <w:r>
        <w:rPr>
          <w:i/>
          <w:iCs/>
        </w:rPr>
        <w:t>scène</w:t>
      </w:r>
      <w:r>
        <w:rPr/>
        <w:t xml:space="preserve"> dans l’appareillage archicratique n’est pas un décor, mais une condition de vérité. Là où elle manque, le fondement se fige en dogme, l’exécution se retire dans la machinerie, et la contestation se dissout en rumeur impuissante. Là où elle existe, une société se découvre encore capable de tenir ensemble l’autorité et la critique, l’efficacité et la justice, l’urgence et l’examen.</w:t>
      </w:r>
    </w:p>
    <w:p>
      <w:pPr>
        <w:pStyle w:val="BodyText"/>
        <w:rPr/>
      </w:pPr>
      <w:r>
        <w:rPr/>
        <w:t xml:space="preserve">Nommer la </w:t>
      </w:r>
      <w:r>
        <w:rPr>
          <w:i/>
          <w:iCs/>
        </w:rPr>
        <w:t>scène</w:t>
      </w:r>
      <w:r>
        <w:rPr/>
        <w:t xml:space="preserve">, c’est aussitôt reconnaître qu’elle ne se confond pas avec une salle ni avec un protocole. Elle exige une mise en présence et une mise à distance simultanées. Une </w:t>
      </w:r>
      <w:r>
        <w:rPr>
          <w:i/>
          <w:iCs/>
        </w:rPr>
        <w:t>mise en présence</w:t>
      </w:r>
      <w:r>
        <w:rPr/>
        <w:t xml:space="preserve"> parce que l’on y compare enfin ce qui, jusqu’alors, demeurait dissocié — les textes, les preuves, les motifs, les effets —, et parce que des voix y prennent corps, avec leur grain, leurs hésitations, leurs fragilités. Une </w:t>
      </w:r>
      <w:r>
        <w:rPr>
          <w:i/>
          <w:iCs/>
        </w:rPr>
        <w:t>mise à distance</w:t>
      </w:r>
      <w:r>
        <w:rPr/>
        <w:t xml:space="preserve"> ensuite, parce qu’y est institué un délai, un temps d’arrêt qui suspend l’exécution et protège la parole naissante de la précipitation qui l’écrase. La </w:t>
      </w:r>
      <w:r>
        <w:rPr>
          <w:i/>
          <w:iCs/>
        </w:rPr>
        <w:t>scène</w:t>
      </w:r>
      <w:r>
        <w:rPr/>
        <w:t xml:space="preserve"> est donc intrinsèquement </w:t>
      </w:r>
      <w:r>
        <w:rPr>
          <w:i/>
          <w:iCs/>
        </w:rPr>
        <w:t>différée</w:t>
      </w:r>
      <w:r>
        <w:rPr/>
        <w:t xml:space="preserve"> ; elle ferme un instant le monde pour mieux le rouvrir. Elle ne réclame pas la perfection des conditions, mais la possibilité réelle d’une comparution : pouvoir entrer, parler, être entendu, et, s’il y a lieu, obtenir qu’un geste se corrige.</w:t>
      </w:r>
    </w:p>
    <w:p>
      <w:pPr>
        <w:pStyle w:val="BodyText"/>
        <w:rPr/>
      </w:pPr>
      <w:r>
        <w:rPr/>
        <w:t xml:space="preserve">De cette </w:t>
      </w:r>
      <w:r>
        <w:rPr>
          <w:i/>
          <w:iCs/>
        </w:rPr>
        <w:t>scène</w:t>
      </w:r>
      <w:r>
        <w:rPr/>
        <w:t xml:space="preserve"> procède la notion de </w:t>
      </w:r>
      <w:r>
        <w:rPr>
          <w:i/>
          <w:iCs/>
        </w:rPr>
        <w:t>seuil</w:t>
      </w:r>
      <w:r>
        <w:rPr/>
        <w:t xml:space="preserve">. </w:t>
      </w:r>
      <w:r>
        <w:rPr>
          <w:i/>
          <w:iCs/>
        </w:rPr>
        <w:t>Une scène sans seuil n’est qu’un vœu</w:t>
      </w:r>
      <w:r>
        <w:rPr/>
        <w:t xml:space="preserve"> : elle laisse intacte l’asymétrie entre ceux qui savent et ceux qui subissent. Le seuil règle l’accès — coût temporel, langagier, matériel ou économique pour se présenter —, ordonne la suspension — l’arrêt des effets tant que l’examen n’a pas eu lieu —, garantit la réversibilité — non l’annulation illimitée, mais la possibilité d’un retour sur décision qui ne soit pas un simulacre —, assure la publicité — visibilité raisonnée de ce qui s’y joue, afin que la société sache ce qui la régit —, et institue la mémoire — trace exploitable qui permette non seulement de juger aujourd’hui, mais d’apprendre demain.</w:t>
      </w:r>
    </w:p>
    <w:p>
      <w:pPr>
        <w:pStyle w:val="BodyText"/>
        <w:rPr/>
      </w:pPr>
      <w:r>
        <w:rPr/>
        <w:t xml:space="preserve">Ces cinq fonctions ne valent qu’ensemble : l’accès sans suspension n’épargne rien ; la suspension sans réversibilité humilie ; la publicité sans mémoire agite ; la mémoire sans accès pétrifie. Le </w:t>
      </w:r>
      <w:r>
        <w:rPr>
          <w:i/>
          <w:iCs/>
        </w:rPr>
        <w:t>seuil</w:t>
      </w:r>
      <w:r>
        <w:rPr/>
        <w:t xml:space="preserve"> est l’</w:t>
      </w:r>
      <w:r>
        <w:rPr>
          <w:i/>
          <w:iCs/>
        </w:rPr>
        <w:t>art de proportionner</w:t>
      </w:r>
      <w:r>
        <w:rPr/>
        <w:t xml:space="preserve"> : on y compose l’exigence de protection des personnes et l’exigence de responsabilité des institutions, on y tempère la rapidité nécessaire par la juste lenteur.</w:t>
      </w:r>
    </w:p>
    <w:p>
      <w:pPr>
        <w:pStyle w:val="BodyText"/>
        <w:rPr/>
      </w:pPr>
      <w:r>
        <w:rPr/>
        <w:t xml:space="preserve">Reste la </w:t>
      </w:r>
      <w:r>
        <w:rPr>
          <w:i/>
          <w:iCs/>
        </w:rPr>
        <w:t>temporalité</w:t>
      </w:r>
      <w:r>
        <w:rPr/>
        <w:t xml:space="preserve">, qui donne à la </w:t>
      </w:r>
      <w:r>
        <w:rPr>
          <w:i/>
          <w:iCs/>
        </w:rPr>
        <w:t>scène</w:t>
      </w:r>
      <w:r>
        <w:rPr/>
        <w:t xml:space="preserve"> et au </w:t>
      </w:r>
      <w:r>
        <w:rPr>
          <w:i/>
          <w:iCs/>
        </w:rPr>
        <w:t>seuil</w:t>
      </w:r>
      <w:r>
        <w:rPr/>
        <w:t xml:space="preserve"> leur véritable portée. Contre la fascination du « tout, tout de suite » — cette idolâtrie du même instant pour la détection, la qualification et l’exécution —, une régulation digne de ce nom invente du temps et prend son temps. Elle ménage des </w:t>
      </w:r>
      <w:r>
        <w:rPr>
          <w:i/>
          <w:iCs/>
        </w:rPr>
        <w:t>latences</w:t>
      </w:r>
      <w:r>
        <w:rPr/>
        <w:t xml:space="preserve"> où l’on rassemble les pièces et les mots ; des </w:t>
      </w:r>
      <w:r>
        <w:rPr>
          <w:i/>
          <w:iCs/>
        </w:rPr>
        <w:t>vacations</w:t>
      </w:r>
      <w:r>
        <w:rPr/>
        <w:t xml:space="preserve"> où l’on confronte des versions sans que l’une écrase l’autre d’emblée ; des </w:t>
      </w:r>
      <w:r>
        <w:rPr>
          <w:i/>
          <w:iCs/>
        </w:rPr>
        <w:t>reprises</w:t>
      </w:r>
      <w:r>
        <w:rPr/>
        <w:t xml:space="preserve"> où l’on revient sur ce qui a été tranché, non pour se perdre en repentirs, mais pour apprendre de ses propres décisions. Ce temps n’est pas un luxe moral : il est la matière première de la justice. Là où il disparaît, tout devient flux : on agit avant d’avoir pensé, on punit avant d’avoir entendu, on classe avant d’avoir compris. Là où il se réinstaure, le monde reprend souffle et, avec lui, la faculté des humains à se rendre intelligibles les situations aux uns et aux autres.</w:t>
      </w:r>
    </w:p>
    <w:p>
      <w:pPr>
        <w:pStyle w:val="BodyText"/>
        <w:rPr/>
      </w:pPr>
      <w:r>
        <w:rPr/>
        <w:t>Insistons : le facteur humain n’est pas l’entourage sensible d’un mécanisme réglé, il en est la pierre de touche. La scène existe tant qu’une personne — avec sa langue, ses hésitations, ses contraintes de travail et de famille, ses peurs et parfois sa honte — peut effectivement franchir le seuil. C’est pourquoi la grammaire du différé n’est jamais uniforme : elle doit pouvoir varier sans se contredire, pour accueillir la diversité des situations sans verser dans l’arbitraire. Il peut falloir un interprète, un accompagnement, un aménagement d’horaires, un espace non intimidant, un droit à la reformulation, un temps de consultation, un dispositif d’écoute qui ne confonde pas maladresse et mauvaise foi. De sorte qu’on n’égalise pas les chances par proclamation, mais par fabrication minutieuse d’un temps juste et adapté : assez long pour permettre l’expression pleine et entière, assez bref pour que la vie ne se défasse pas dans l’attente.</w:t>
      </w:r>
    </w:p>
    <w:p>
      <w:pPr>
        <w:pStyle w:val="BodyText"/>
        <w:rPr/>
      </w:pPr>
      <w:r>
        <w:rPr/>
        <w:t xml:space="preserve">Cette grammaire — </w:t>
      </w:r>
      <w:r>
        <w:rPr>
          <w:i/>
          <w:iCs/>
        </w:rPr>
        <w:t>scène, seuil, temporalité</w:t>
      </w:r>
      <w:r>
        <w:rPr/>
        <w:t xml:space="preserve"> — est proposée comme une manière de voir avant d’être une manière de faire. Elle s’enracine dans une évidence sans emphase : les collectifs humains, à travers des mondes et des époques hétérogènes, ont apprivoisé le conflit, la faute, la perte et l’aléa en travaillant le temps. On veillait, on délibérait, on se taisait, puis l’on revenait : autant de séquences réglées où chacun pouvait apparaître devant l’autre et où l’ordre commun se recomposait. Nos sociétés n’ont pas renoncé à ces arts du temps ; elles en ont déplacé l’exercice vers des interfaces et des scripts qui, croyant gagner en neutralité et en vélocité, perdent souvent en habitabilité. Dire la centralité du différé ne relève ici ni de la nostalgie ni de la morale ; c’est formuler une hypothèse d’intelligibilité : la parole ne tient qu’à la condition d’un temps qui la porte.</w:t>
      </w:r>
    </w:p>
    <w:p>
      <w:pPr>
        <w:pStyle w:val="BodyText"/>
        <w:rPr/>
      </w:pPr>
      <w:r>
        <w:rPr/>
        <w:t>L’objection est connue : la scène ralentit, le seuil complique, la temporalité coûte. À l’échelle des jours et des budgets, l’argument se défend. Mais l’observation comparée révèle une autre économie, moins comptable et plus politique : là où les dispositifs suppriment les moments d’exposition, la défiance s’accumule, les contournements émergent, les contentieux s’installent. À l’inverse, lorsque existent des formes minimales de scène — la possibilité de paraître quelque part, d’interrompre les effets le temps d’examiner, de revenir sur une décision, de comprendre ce qui l’a motivée, d’en garder mémoire pour apprendre —, les décisions se laissent mieux comprendre, se contestent moins longtemps, se réparent plus vite. Rien ici n’édicte une règle d’action : il s’agit d’indiquer un angle de lecture où la lenteur sélective apparaît non comme l’adversaire de l’efficacité, mais comme sa condition de justesse.</w:t>
      </w:r>
    </w:p>
    <w:p>
      <w:pPr>
        <w:pStyle w:val="BodyText"/>
        <w:rPr/>
      </w:pPr>
      <w:r>
        <w:rPr/>
        <w:t xml:space="preserve">Ce que nous appelons grammaire des différés n’est ni un modèle unique ni une consigne. Elle se compose selon des lignes d’attention qui se croisent et se répondent : la </w:t>
      </w:r>
      <w:r>
        <w:rPr>
          <w:i/>
          <w:iCs/>
        </w:rPr>
        <w:t>comparution</w:t>
      </w:r>
      <w:r>
        <w:rPr/>
        <w:t xml:space="preserve">, d’abord, c’est-à-dire l’existence d’un lieu et d’une adresse où l’on peut apparaître ; la </w:t>
      </w:r>
      <w:r>
        <w:rPr>
          <w:i/>
          <w:iCs/>
        </w:rPr>
        <w:t>suspension</w:t>
      </w:r>
      <w:r>
        <w:rPr/>
        <w:t xml:space="preserve">, ensuite, cette possibilité temporaire d’arrêter les effets pour rouvrir l’examen ; puis la </w:t>
      </w:r>
      <w:r>
        <w:rPr>
          <w:i/>
          <w:iCs/>
        </w:rPr>
        <w:t>réversibilité</w:t>
      </w:r>
      <w:r>
        <w:rPr/>
        <w:t xml:space="preserve">, qui donne à l’erreur le droit d’être corrigée ; la </w:t>
      </w:r>
      <w:r>
        <w:rPr>
          <w:i/>
          <w:iCs/>
        </w:rPr>
        <w:t>publicité</w:t>
      </w:r>
      <w:r>
        <w:rPr/>
        <w:t xml:space="preserve"> encore, qui rend visibles, à proportion juste, les critères et les voies ; enfin la </w:t>
      </w:r>
      <w:r>
        <w:rPr>
          <w:i/>
          <w:iCs/>
        </w:rPr>
        <w:t>mémoire</w:t>
      </w:r>
      <w:r>
        <w:rPr/>
        <w:t>, qui tient les traces non pour épier mais pour comprendre et se corriger. Ce qui importe est la tenue d’ensemble : que l’annonce n’usurpe pas l’accès, que l’avis n’emprunte pas le nom de l’écoute, que la visibilité ne se confonde pas avec l’exposition, que la trace ne dégénère pas en surveillance, que l’horodatage ne tienne pas lieu de temps partagé, que l’enregistrement ne se prenne pas pour mémoire.</w:t>
      </w:r>
    </w:p>
    <w:p>
      <w:pPr>
        <w:pStyle w:val="BodyText"/>
        <w:rPr/>
      </w:pPr>
      <w:r>
        <w:rPr/>
        <w:t>De là découle une éthique de la forme qui éprouve. Une procédure peut bien exister sans produire une scène ; un recours peut figurer dans une brochure sans que le seuil soit franchissable ; des logs peuvent s’accumuler sans qu’une mémoire devienne intelligible. L’effectivité n’est pas un décret : elle se laisse repérer quand des vies parviennent à parler, quand certaines décisions se dédisent, quand des institutions endurent ce qu’elles n’avaient pas prévu d’entendre. Le temps accordé ne vaut pas pour différer indéfiniment ; il vaut pour laisser affleurer cette part de réel que l’urgence exclut d’ordinaire. Ce temps ne se réduit pas à celui des audiences et des rapports ; il inclut le temps discret des apprentissages croisés, lorsque les personnes apprennent les règles et que les institutions apprennent des personnes, lorsque la société, pour un instant, apprend de ce qu’elle a osé mettre en scène.</w:t>
      </w:r>
    </w:p>
    <w:p>
      <w:pPr>
        <w:pStyle w:val="BodyText"/>
        <w:rPr/>
      </w:pPr>
      <w:r>
        <w:rPr/>
        <w:t>Ainsi comprise, la portée politique des différés archicratiques tient dans un verbe simple : accueillir. Accueillir la parole vulnérable sans humilier l’autorité ; accueillir la correction sans ruiner l’action ; accueillir la mémoire sans geler le présent. On n’invente pas un monde vivable en accélérant tout, mais en distribuant des rythmes compatibles avec la dignité de celles et ceux qui sont régulés et la responsabilité de celles et ceux qui décident. La scène est le lieu de cette distribution, le seuil en règle l’accès, la temporalité en ajuste l’équité. Le reste — indices, méthodes, comparaisons — pourra venir utilement après coup, pourvu que demeure d’abord cette évidence de lecture : une régulation qui ne s’expose pas au temps finit par ne plus porter personne.</w:t>
      </w:r>
    </w:p>
    <w:p>
      <w:pPr>
        <w:pStyle w:val="BodyText"/>
        <w:rPr/>
      </w:pPr>
      <w:r>
        <w:rPr/>
        <w:t>De ce point de vue, l’archicration n’est pas un protocole à décliner, mais un principe d’intelligibilité : elle nomme la respiration par laquelle un collectif, une société, une institution, une entreprise se rend à nouveau audible à lui-même. Lorsqu’un dispositif se laisse raconter, lorsqu’une décision accepte de se réexaminer, lorsqu’un fondement redevient discours, quelque chose comme de la politique reparaît — non pas la politique du commandement, mais celle qui consent à la scène. C’est à cette scène que l’hypothèse ici formulée convie : non pour ordonner, mais pour éclairer ; non pour prescrire, mais pour rendre possible un usage plus juste des mots qui nous régulent.</w:t>
      </w:r>
    </w:p>
    <w:p>
      <w:pPr>
        <w:pStyle w:val="Heading2"/>
        <w:numPr>
          <w:ilvl w:val="1"/>
          <w:numId w:val="2"/>
        </w:numPr>
        <w:rPr/>
      </w:pPr>
      <w:r>
        <w:rPr>
          <w:b/>
          <w:bCs/>
        </w:rPr>
        <w:t xml:space="preserve">1.7 — Typologie stratifiée des </w:t>
      </w:r>
      <w:r>
        <w:rPr>
          <w:b/>
          <w:bCs/>
          <w:i/>
          <w:iCs/>
        </w:rPr>
        <w:t>arcalités</w:t>
      </w:r>
      <w:r>
        <w:rPr>
          <w:b/>
          <w:bCs/>
        </w:rPr>
        <w:t xml:space="preserve">, </w:t>
      </w:r>
      <w:r>
        <w:rPr>
          <w:b/>
          <w:bCs/>
          <w:i/>
          <w:iCs/>
        </w:rPr>
        <w:t>cratialités</w:t>
      </w:r>
      <w:r>
        <w:rPr>
          <w:b/>
          <w:bCs/>
        </w:rPr>
        <w:t xml:space="preserve"> et </w:t>
      </w:r>
      <w:r>
        <w:rPr>
          <w:b/>
          <w:bCs/>
          <w:i/>
          <w:iCs/>
        </w:rPr>
        <w:t>archicrations</w:t>
      </w:r>
      <w:r>
        <w:rPr>
          <w:b/>
          <w:bCs/>
        </w:rPr>
        <w:t xml:space="preserve"> : éléments pour une morphologie opérante</w:t>
      </w:r>
    </w:p>
    <w:p>
      <w:pPr>
        <w:pStyle w:val="BodyText"/>
        <w:rPr/>
      </w:pPr>
      <w:r>
        <w:rPr/>
        <w:t>À ce stade du chapitre, le paradigme archicratique s’est exposé dans ses principes, dans ses conditions de lisibilité, d’usage et d’épreuve, dans ses seuils critiques, ainsi que dans ses ancrages différés — scènes, seuils, temporalités. Mais il reste à en consolider la prise morphologique : non plus sous l’angle de ses conditions générales de possibilité, mais à travers l’analyse concrète de ses incarnations empiriques et de ses variations structurelles. Car une régulation ne se donne jamais dans le vide : elle se trame, se matérialise, se temporalise et s’éprouve. Le moment morphologique constitue ainsi le point de bascule entre la formulation du paradigme et sa puissance heuristique dans les régimes concrets.</w:t>
      </w:r>
    </w:p>
    <w:p>
      <w:pPr>
        <w:pStyle w:val="BodyText"/>
        <w:rPr/>
      </w:pPr>
      <w:r>
        <w:rPr/>
        <w:t>Cette cartographie morphologique n’ouvre pas un second paradigme dans le paradigme : elle prolonge, sur le terrain des formes concrètes, les distinctions, les dynamiques et les repères déjà établis.</w:t>
      </w:r>
    </w:p>
    <w:p>
      <w:pPr>
        <w:pStyle w:val="BodyText"/>
        <w:rPr/>
      </w:pPr>
      <w:r>
        <w:rPr/>
        <w:t>Ce chantier ne répète pas ce qui a été posé jusqu’ici. Il s’en distingue par son objet, sa méthode et sa finalité. La section 1.1 posait le cadre d’intelligibilité général du paradigme : la triade arcalité–cratialité–archicration, pensée comme structure de fondation, de mise en œuvre et de reprise d’un ordre. La section 1.4 en déployait l’architecture théorique : triptyque de prises, logique de différenciation, schéma des articulations internes. Les sections 1.5 et 1.6 en ont ensuite éprouvé les formes dynamiques et dégagé les premiers repères heuristiques ; la section 1.7 en propose désormais la cartographie morphologique.</w:t>
      </w:r>
    </w:p>
    <w:p>
      <w:pPr>
        <w:pStyle w:val="BodyText"/>
        <w:rPr/>
      </w:pPr>
      <w:r>
        <w:rPr/>
        <w:t>Il s’agit désormais d’adopter une approche stratifiée, située, matérielle et expérientielle de ces trois prises, telles qu’elles apparaissent, circulent, se figent ou s’ouvrent dans les régimes de régulation réels — avec toute la diversité, la conflictualité, l’hétérogénéité et l’imperfection que cela suppose. Il ne s’agit donc plus de conceptualiser les pôles, mais d’en cartographier les formes.</w:t>
      </w:r>
    </w:p>
    <w:p>
      <w:pPr>
        <w:pStyle w:val="BodyText"/>
        <w:rPr/>
      </w:pPr>
      <w:r>
        <w:rPr/>
        <w:t>Car ce qui fait valeur dans un paradigme critique, ce n’est pas sa seule élégance morphologique, mais sa capacité à discerner des régularités, à documenter des bifurcations, à nommer des fractures — non pour assigner, mais pour ouvrir la possibilité d’une lecture située. Une forme d’</w:t>
      </w:r>
      <w:r>
        <w:rPr>
          <w:i/>
          <w:iCs/>
        </w:rPr>
        <w:t>arcalité</w:t>
      </w:r>
      <w:r>
        <w:rPr/>
        <w:t xml:space="preserve"> n’est pas un idéal-type, mais une configuration référentielle historiquement, symboliquement et techniquement composée. Une </w:t>
      </w:r>
      <w:r>
        <w:rPr>
          <w:i/>
          <w:iCs/>
        </w:rPr>
        <w:t>cratialité</w:t>
      </w:r>
      <w:r>
        <w:rPr/>
        <w:t xml:space="preserve"> ne vaut pas par sa fidélité à un protocole d’exécution, mais par l’agencement spécifique de ses opérateurs, de ses instruments, de ses temporalités d’action. Une </w:t>
      </w:r>
      <w:r>
        <w:rPr>
          <w:i/>
          <w:iCs/>
        </w:rPr>
        <w:t>archicration</w:t>
      </w:r>
      <w:r>
        <w:rPr/>
        <w:t xml:space="preserve"> ne se mesure pas à l’existence nominale d’un droit au recours, mais à la consistance vécue de la scène qu’elle institue ou qu’elle empêche. C’est à ces formes multiples — </w:t>
      </w:r>
      <w:r>
        <w:rPr>
          <w:i/>
          <w:iCs/>
        </w:rPr>
        <w:t>opérantes, affaiblies, désincarnées, empêchées, contournées</w:t>
      </w:r>
      <w:r>
        <w:rPr/>
        <w:t xml:space="preserve"> — que nous allons désormais nous confronter.</w:t>
      </w:r>
    </w:p>
    <w:p>
      <w:pPr>
        <w:pStyle w:val="BodyText"/>
        <w:rPr/>
      </w:pPr>
      <w:r>
        <w:rPr/>
        <w:t xml:space="preserve">Ce travail de morphologie opérante repose sur trois exigences conjuguées. D’abord, une </w:t>
      </w:r>
      <w:r>
        <w:rPr>
          <w:i/>
          <w:iCs/>
        </w:rPr>
        <w:t>exigence</w:t>
      </w:r>
      <w:r>
        <w:rPr/>
        <w:t xml:space="preserve"> </w:t>
      </w:r>
      <w:r>
        <w:rPr>
          <w:i/>
          <w:iCs/>
        </w:rPr>
        <w:t>référentielle</w:t>
      </w:r>
      <w:r>
        <w:rPr/>
        <w:t xml:space="preserve"> : comprendre à partir de quels énoncés, objets, récits, modèles, figures ou principes un ordre prétend se légitimer. Ensuite, une </w:t>
      </w:r>
      <w:r>
        <w:rPr>
          <w:i/>
          <w:iCs/>
        </w:rPr>
        <w:t>exigence opératoire</w:t>
      </w:r>
      <w:r>
        <w:rPr/>
        <w:t xml:space="preserve"> : analyser les mécanismes, supports, outils, interfaces, organigrammes, temporalités et frictions par lesquels une règle produit ses effets. Enfin, une </w:t>
      </w:r>
      <w:r>
        <w:rPr>
          <w:i/>
          <w:iCs/>
        </w:rPr>
        <w:t>exigence expérientielle</w:t>
      </w:r>
      <w:r>
        <w:rPr/>
        <w:t xml:space="preserve"> : restituer la manière dont ces formes sont vécues, comprises, redoutées, contournées ou investies par celles et ceux qui y sont exposés. C’est dans cette articulation — du sémantique, du matériel et du sensible — que réside la puissance diagnostique du paradigme.</w:t>
      </w:r>
    </w:p>
    <w:p>
      <w:pPr>
        <w:pStyle w:val="BodyText"/>
        <w:rPr/>
      </w:pPr>
      <w:r>
        <w:rPr/>
        <w:t>Mais il nous faut aller plus loin encore, car cette typologie stratifiée ne peut se limiter à un inventaire. Elle constitue davantage le socle critique de l’épreuve archicratique. En effet, une arcalité peut subsister en demeurant difficilement compréhensible ou contestable ; une cratialité peut opérer tout en restant peu localisable ou faiblement amendable ; une archicration peut être instituée tout en devenant pratiquement impraticable. Le paradigme archicratique n’exige pas que ces prises soient parfaites — il exige qu’elles soient rendues lisibles dans leur état, qu’elles soient exposées dans leur morphologie effective, et surtout qu’elles soient analysées pour ce qu’elles permettent ou empêchent en termes d’adresse, de comparution et de remédiation.</w:t>
      </w:r>
    </w:p>
    <w:p>
      <w:pPr>
        <w:pStyle w:val="BodyText"/>
        <w:rPr/>
      </w:pPr>
      <w:r>
        <w:rPr/>
        <w:t>Il s’agit ici d’un pas décisif vers l’observation située, vers la formalisation graduée des régimes, vers une grammaire analytique capable de faire apparaître les formes ténues ou massives, explicites ou latentes, ouvertes ou fermées, des prises archicratiques. C’est un appel à regarder autrement ce qui fait régulation. Et cet appel passe par la reconnaissance des formes — même mutilées, même silencieuses — que prennent nos fondements, nos opérations et nos scènes.</w:t>
      </w:r>
    </w:p>
    <w:p>
      <w:pPr>
        <w:pStyle w:val="Heading3"/>
        <w:numPr>
          <w:ilvl w:val="2"/>
          <w:numId w:val="2"/>
        </w:numPr>
        <w:rPr/>
      </w:pPr>
      <w:r>
        <w:rPr/>
        <w:t xml:space="preserve">1.7.1 — Les </w:t>
      </w:r>
      <w:r>
        <w:rPr>
          <w:i/>
          <w:iCs/>
        </w:rPr>
        <w:t>formes d’arcalité</w:t>
      </w:r>
      <w:r>
        <w:rPr/>
        <w:t xml:space="preserve"> : référents qui s’exposent, qui se détiennent, qui s’incorporent</w:t>
      </w:r>
    </w:p>
    <w:p>
      <w:pPr>
        <w:pStyle w:val="BodyText"/>
        <w:rPr/>
      </w:pPr>
      <w:r>
        <w:rPr/>
        <w:t xml:space="preserve">Il n’est pas de régulation sans fondement : aucune norme ne dure, aucune contrainte ne s’impose, aucune décision ne prétend valoir sans s’adosser à une référence qui l’autorise. Cette </w:t>
      </w:r>
      <w:r>
        <w:rPr>
          <w:i/>
          <w:iCs/>
        </w:rPr>
        <w:t>référence</w:t>
      </w:r>
      <w:r>
        <w:rPr/>
        <w:t xml:space="preserve"> — explicite ou implicite, proclamée ou latente, instituée ou héritée — constitue, lorsqu’elle affecte un ordre par sa puissance de légitimation, une forme d’</w:t>
      </w:r>
      <w:r>
        <w:rPr>
          <w:i/>
          <w:iCs/>
        </w:rPr>
        <w:t>arcalité.</w:t>
      </w:r>
      <w:r>
        <w:rPr/>
        <w:t xml:space="preserve"> Celle-ci n’active rien par elle-même : elle n’opère pas, elle n’exécute pas — elle autorise. Ce référent, lorsqu’il est mobilisé pour fonder, justifier ou autoriser l’agir régulateur, constitue ce que nous nommons une </w:t>
      </w:r>
      <w:r>
        <w:rPr>
          <w:i/>
          <w:iCs/>
        </w:rPr>
        <w:t>arcalité</w:t>
      </w:r>
      <w:r>
        <w:rPr/>
        <w:t>. Il ne s’agit pas d’un principe abstrait suspendu dans l’éther normatif, mais d’un point d’ancrage situé, souvent composite, toujours situé, par lequel un ordre prétend valoir, être entendu, ou ne pas avoir à se justifier. L’</w:t>
      </w:r>
      <w:r>
        <w:rPr>
          <w:i/>
          <w:iCs/>
        </w:rPr>
        <w:t>arcalité</w:t>
      </w:r>
      <w:r>
        <w:rPr/>
        <w:t xml:space="preserve"> n’est pas ce qui active ni ce qui décide ; elle n’effectue rien. Elle affecte un ordre en lui conférant sa prétention à la légitimité. Elle désigne la provenance d’autorité à partir de laquelle une régulation peut se prévaloir d’un socle — narratif, juridique, algorithmique, technique, moral, économique — qui en conditionne la recevabilité ou en interdit l’interpellation.</w:t>
      </w:r>
    </w:p>
    <w:p>
      <w:pPr>
        <w:pStyle w:val="BodyText"/>
        <w:rPr/>
      </w:pPr>
      <w:r>
        <w:rPr/>
        <w:t xml:space="preserve">Les </w:t>
      </w:r>
      <w:r>
        <w:rPr>
          <w:i/>
          <w:iCs/>
        </w:rPr>
        <w:t>arcalités</w:t>
      </w:r>
      <w:r>
        <w:rPr/>
        <w:t xml:space="preserve"> n’émergent pas du vide : elles s’inscrivent dans des matériaux hétérogènes, médiatisés par des supports, relayés par des institutions, transmis par des formes. Leur morphologie est stratifiée : un même dispositif peut juxtaposer ou hybrider plusieurs formes arcales — une loi de cadrage, un modèle algorithmique, une doctrine d’État, un récit d’origine, un ensemble de valeurs implicites. Ce sont ces formes d’affectation, pas forcément proclamée, que la présente sous-section entend déployer : non pas tant ce que disent les institutions qu’à partir de quoi elles parlent, à quoi elles se réfèrent, ce qu’elles mobilisent pour affecter symboliquement, juridiquement, politiquement un espace social donné.</w:t>
      </w:r>
    </w:p>
    <w:p>
      <w:pPr>
        <w:pStyle w:val="BodyText"/>
        <w:rPr/>
      </w:pPr>
      <w:r>
        <w:rPr/>
        <w:t xml:space="preserve">Une </w:t>
      </w:r>
      <w:r>
        <w:rPr>
          <w:i/>
          <w:iCs/>
        </w:rPr>
        <w:t>arcalité</w:t>
      </w:r>
      <w:r>
        <w:rPr/>
        <w:t xml:space="preserve"> peut être visible ou latente, stable ou flottante, énoncée ou implicite. Elle peut se donner dans le texte, dans le chiffre, dans l’image, dans le logo ou dans la coutume. Elle peut se transmettre comme nom, comme mémoire, comme code, comme indice ou comme titre. Elle peut être autoritaire sans être formelle, implicite sans être invisible, incorporée sans être consciente. Ce qui importe, pour la reconnaissance archicratique d’une </w:t>
      </w:r>
      <w:r>
        <w:rPr>
          <w:i/>
          <w:iCs/>
        </w:rPr>
        <w:t>arcalité</w:t>
      </w:r>
      <w:r>
        <w:rPr/>
        <w:t>, n’est pas son mode d’apparition, mais son effet d’autorité. Ce n’est pas qu’elle soit publique ou explicite, mais qu’elle opère, à un moment donné, comme source indiscutée ou discutable de justification, de légitimation ou de régulation.</w:t>
      </w:r>
    </w:p>
    <w:p>
      <w:pPr>
        <w:pStyle w:val="BodyText"/>
        <w:rPr/>
      </w:pPr>
      <w:r>
        <w:rPr/>
        <w:t>Prenons un exemple simple : un dispositif d’allocation d’aide sociale adossé à un algorithme. Ce dernier ne se contente pas d’ordonner les priorités : il mobilise un ensemble de variables, de pondérations, de seuils qui, pour fonctionner, présupposent un régime d’</w:t>
      </w:r>
      <w:r>
        <w:rPr>
          <w:i/>
          <w:iCs/>
        </w:rPr>
        <w:t>arcalité technique</w:t>
      </w:r>
      <w:r>
        <w:rPr/>
        <w:t xml:space="preserve"> — l’algorithme est </w:t>
      </w:r>
      <w:r>
        <w:rPr>
          <w:i/>
          <w:iCs/>
        </w:rPr>
        <w:t>tenu</w:t>
      </w:r>
      <w:r>
        <w:rPr/>
        <w:t xml:space="preserve"> pour juste, pertinent, valide. Mais ce régime d’</w:t>
      </w:r>
      <w:r>
        <w:rPr>
          <w:i/>
          <w:iCs/>
        </w:rPr>
        <w:t>arcalité</w:t>
      </w:r>
      <w:r>
        <w:rPr/>
        <w:t xml:space="preserve"> peut être soutenu par d’autres couches : une loi qui en prescrit l’usage, une autorité administrative qui le certifie, un modèle moral implicite qui justifie le tri (mérite, besoin, comportement antérieur). L’</w:t>
      </w:r>
      <w:r>
        <w:rPr>
          <w:i/>
          <w:iCs/>
        </w:rPr>
        <w:t>arcalité</w:t>
      </w:r>
      <w:r>
        <w:rPr/>
        <w:t xml:space="preserve"> ici est plurielle, emboîtée, hiérarchisée parfois — et pourtant, elle ne parle pas. Elle fait valoir sans paraître. C’est pourquoi, dans une perspective morphologique, ce n’est pas l’origine proclamée du fondement qui importe, mais la manière dont il affecte l’ordre du pensable, du dicible, de l’autorité.</w:t>
      </w:r>
    </w:p>
    <w:p>
      <w:pPr>
        <w:pStyle w:val="BodyText"/>
        <w:rPr/>
      </w:pPr>
      <w:r>
        <w:rPr/>
        <w:t xml:space="preserve">L’analyse archicratique des </w:t>
      </w:r>
      <w:r>
        <w:rPr>
          <w:i/>
          <w:iCs/>
        </w:rPr>
        <w:t>arcalités</w:t>
      </w:r>
      <w:r>
        <w:rPr/>
        <w:t xml:space="preserve"> implique alors de prendre au sérieux cette plurivocité de la référence. Une norme peut être invoquée sans être nommée, une autorité peut se manifester sans s’énoncer, une source peut faire autorité sans être identifiée. C’est pourquoi il faut, méthodologiquement, toujours rechercher les indices d’</w:t>
      </w:r>
      <w:r>
        <w:rPr>
          <w:i/>
          <w:iCs/>
        </w:rPr>
        <w:t>arcalité</w:t>
      </w:r>
      <w:r>
        <w:rPr/>
        <w:t xml:space="preserve"> dans les formes d’énonciation, les dispositifs de justification, les documents d’accompagnement, mais aussi dans les comportements institutionnels, les stratégies d’invocation ou d’évitement, les seuils symboliques de légitimité. Une signature, un tampon, un logo officiel, une jurisprudence, un numéro de version ou un copyright peuvent, dans certaines configurations, valoir </w:t>
      </w:r>
      <w:r>
        <w:rPr>
          <w:i/>
          <w:iCs/>
        </w:rPr>
        <w:t>arcalité</w:t>
      </w:r>
      <w:r>
        <w:rPr/>
        <w:t>.</w:t>
      </w:r>
    </w:p>
    <w:p>
      <w:pPr>
        <w:pStyle w:val="BodyText"/>
        <w:rPr/>
      </w:pPr>
      <w:r>
        <w:rPr/>
        <w:t xml:space="preserve">Mais une </w:t>
      </w:r>
      <w:r>
        <w:rPr>
          <w:i/>
          <w:iCs/>
        </w:rPr>
        <w:t>arcalité</w:t>
      </w:r>
      <w:r>
        <w:rPr/>
        <w:t xml:space="preserve"> se juge aussi à sa tenue. C’est ici que commence l’examen critique : non pour décréter la validité d’un fondement, mais pour observer comment il s’installe, se maintient, se transforme, se dispute ou se verrouille. L’</w:t>
      </w:r>
      <w:r>
        <w:rPr>
          <w:i/>
          <w:iCs/>
        </w:rPr>
        <w:t>arcalité</w:t>
      </w:r>
      <w:r>
        <w:rPr/>
        <w:t xml:space="preserve"> peut être claire, accessible, opposable, révisable : c’est le cas, par exemple, d’une norme publiée dans un code annoté, commentée par la doctrine, citée dans des jurisprudences, ouverte à des révisions périodiques. Mais elle peut être également obscure, non datée, protégée par le secret industriel, rédigée dans un langage inintelligible pour les non-initiés — auquel cas, sa forme n’est pas moins opérante, mais elle produit un autre régime, celui du fondement sans adresse.</w:t>
      </w:r>
    </w:p>
    <w:p>
      <w:pPr>
        <w:pStyle w:val="BodyText"/>
        <w:rPr/>
      </w:pPr>
      <w:r>
        <w:rPr/>
        <w:t xml:space="preserve">Dans tous les cas, ce qui est en jeu, ce n’est pas tant la conformité à une norme d’accessibilité, que la possibilité pour les sujets régulés d’identifier, de citer, de remettre en jeu cette </w:t>
      </w:r>
      <w:r>
        <w:rPr>
          <w:i/>
          <w:iCs/>
        </w:rPr>
        <w:t>arcalité</w:t>
      </w:r>
      <w:r>
        <w:rPr/>
        <w:t xml:space="preserve">. Une référence qui ne se donne ni à lire ni à discuter, qui ne se laisse pas désigner, qui ne supporte aucune contradiction, n’appartient pas nécessairement au dehors de la régulation archicratique, mais signale un régime déficient ou fermé de fondement. Elle opère sans pouvoir être interrogée — c’est-à-dire qu’elle cesse d’être </w:t>
      </w:r>
      <w:r>
        <w:rPr>
          <w:i/>
          <w:iCs/>
        </w:rPr>
        <w:t>arcalité ouverte</w:t>
      </w:r>
      <w:r>
        <w:rPr/>
        <w:t xml:space="preserve"> pour devenir </w:t>
      </w:r>
      <w:r>
        <w:rPr>
          <w:i/>
          <w:iCs/>
        </w:rPr>
        <w:t>arcalité close</w:t>
      </w:r>
      <w:r>
        <w:rPr/>
        <w:t>, forme d’invocation figée, souvent adossée à une forme d’autorité auto-référentielle (l’expert, le système, le chiffre, l’algorithme, la tradition, le titre, etc.).</w:t>
      </w:r>
    </w:p>
    <w:p>
      <w:pPr>
        <w:pStyle w:val="BodyText"/>
        <w:rPr/>
      </w:pPr>
      <w:r>
        <w:rPr/>
        <w:t xml:space="preserve">Ce sont ces formes différenciées que nous devons nous attacher à circonscrire en montrant, de manière située, comment une </w:t>
      </w:r>
      <w:r>
        <w:rPr>
          <w:i/>
          <w:iCs/>
        </w:rPr>
        <w:t>arcalité</w:t>
      </w:r>
      <w:r>
        <w:rPr/>
        <w:t xml:space="preserve"> peut se composer, se matérialiser, s’incorporer, se transmettre ou se verrouiller — et comment elle affecte, ce faisant, les conditions mêmes de la régulation.</w:t>
      </w:r>
    </w:p>
    <w:p>
      <w:pPr>
        <w:pStyle w:val="BodyText"/>
        <w:rPr/>
      </w:pPr>
      <w:r>
        <w:rPr/>
        <w:t xml:space="preserve">Une </w:t>
      </w:r>
      <w:r>
        <w:rPr>
          <w:i/>
          <w:iCs/>
        </w:rPr>
        <w:t>arcalité</w:t>
      </w:r>
      <w:r>
        <w:rPr/>
        <w:t xml:space="preserve"> peut d’abord s’incorporer sans jamais se déclarer. C’est le cas des </w:t>
      </w:r>
      <w:r>
        <w:rPr>
          <w:i/>
          <w:iCs/>
        </w:rPr>
        <w:t>formes implicites</w:t>
      </w:r>
      <w:r>
        <w:rPr/>
        <w:t xml:space="preserve"> de légitimation sociale, fondées sur des appartenances présumées ou des qualifications héritées, qui autorisent certains à parler, à décider, à agir sans avoir à exposer leur titre. Le port d’un uniforme, la détention d’un diplôme, l’appartenance à un corps ou à une lignée peuvent produire une </w:t>
      </w:r>
      <w:r>
        <w:rPr>
          <w:i/>
          <w:iCs/>
        </w:rPr>
        <w:t>arcalité incarnée</w:t>
      </w:r>
      <w:r>
        <w:rPr/>
        <w:t>, non discursive, mais opérante. Cette incorporation rend l’autorité indiscutable précisément parce qu’elle se donne à voir, à se reconnaître et à s’intérioriser.</w:t>
      </w:r>
    </w:p>
    <w:p>
      <w:pPr>
        <w:pStyle w:val="BodyText"/>
        <w:rPr/>
      </w:pPr>
      <w:r>
        <w:rPr/>
        <w:t>Elle se manifeste dans les signes : une posture, une voix, une manière de trancher ou de présider. On ne demande pas pourquoi, parce que l’apparence suffit : elle est l’</w:t>
      </w:r>
      <w:r>
        <w:rPr>
          <w:i/>
          <w:iCs/>
        </w:rPr>
        <w:t>autorité</w:t>
      </w:r>
      <w:r>
        <w:rPr/>
        <w:t xml:space="preserve">. Ce n’est pas une scène, mais une </w:t>
      </w:r>
      <w:r>
        <w:rPr>
          <w:i/>
          <w:iCs/>
        </w:rPr>
        <w:t>évidence incorporée</w:t>
      </w:r>
      <w:r>
        <w:rPr/>
        <w:t xml:space="preserve">, un </w:t>
      </w:r>
      <w:r>
        <w:rPr>
          <w:i/>
          <w:iCs/>
        </w:rPr>
        <w:t>effet d’intériorisation silencieuse</w:t>
      </w:r>
      <w:r>
        <w:rPr/>
        <w:t>. Dans ces cas, la critique est rendue difficile, non par la force du fondement, mais par sa naturalisation : nul ne le revendique, nul ne l’explique, nul ne sait même s’il pourrait en douter. L’</w:t>
      </w:r>
      <w:r>
        <w:rPr>
          <w:i/>
          <w:iCs/>
        </w:rPr>
        <w:t>arcalité</w:t>
      </w:r>
      <w:r>
        <w:rPr/>
        <w:t xml:space="preserve"> est ainsi dissoute dans les corps et les signes.</w:t>
      </w:r>
    </w:p>
    <w:p>
      <w:pPr>
        <w:pStyle w:val="BodyText"/>
        <w:rPr/>
      </w:pPr>
      <w:r>
        <w:rPr/>
        <w:t xml:space="preserve">Viennent ensuite les </w:t>
      </w:r>
      <w:r>
        <w:rPr>
          <w:i/>
          <w:iCs/>
        </w:rPr>
        <w:t>formes hybrides</w:t>
      </w:r>
      <w:r>
        <w:rPr/>
        <w:t>, dans lesquelles plusieurs sources sont mobilisées simultanément pour asseoir une autorité : une règle est invoquée au nom d’un texte, mais aussi d’une valeur morale, d’une exigence technique, d’une urgence circonstancielle. Ces configurations composites sont fréquentes dans les régimes contemporains, où les justifications doivent répondre à des injonctions multiples : juridique, médiatique, experte, éthique, financière. L’exemple du Concordat de 1801 en France montre bien cette hybridité : le régime napoléonien y a combiné autorité politique, reconnaissance d’un culte, doctrine morale publique et contrôle administratif des nominations. L’</w:t>
      </w:r>
      <w:r>
        <w:rPr>
          <w:i/>
          <w:iCs/>
        </w:rPr>
        <w:t>arcalité</w:t>
      </w:r>
      <w:r>
        <w:rPr/>
        <w:t xml:space="preserve"> y est composite : elle s’appuie sur une rationalité d’État, une autorité religieuse partiellement sécularisée, une doctrine nationale et une effictivité administrative.</w:t>
      </w:r>
    </w:p>
    <w:p>
      <w:pPr>
        <w:pStyle w:val="BodyText"/>
        <w:rPr/>
      </w:pPr>
      <w:r>
        <w:rPr/>
        <w:t>Un autre exemple générique peut prendre corps dans un plan de réforme invoquant l’équité sociale, la soutenabilité budgétaire, la conformité réglementaire, la validation algorithmique et l’adhésion populaire. Cette polyphonie peut être une richesse — si elle permet la pluralisation des points de vue — mais elle peut aussi servir de paravent stratégique : aucune autorité n’étant pleinement assumée, toutes se renvoient la balle. Dans ce cas, la pluralité devient opacité. On ne sait plus d’où vient la primauté de l’ordre : de la loi, de la technique, du marché, du consensus ou de l’expert. L’</w:t>
      </w:r>
      <w:r>
        <w:rPr>
          <w:i/>
          <w:iCs/>
        </w:rPr>
        <w:t>arcalité</w:t>
      </w:r>
      <w:r>
        <w:rPr/>
        <w:t xml:space="preserve"> se brouille dans le maquis des justifications concurrentes, dans une chaîne de responsabilités diluées.</w:t>
      </w:r>
    </w:p>
    <w:p>
      <w:pPr>
        <w:pStyle w:val="BodyText"/>
        <w:rPr/>
      </w:pPr>
      <w:r>
        <w:rPr/>
        <w:t xml:space="preserve">Les </w:t>
      </w:r>
      <w:r>
        <w:rPr>
          <w:i/>
          <w:iCs/>
        </w:rPr>
        <w:t>formes stratifiées</w:t>
      </w:r>
      <w:r>
        <w:rPr/>
        <w:t xml:space="preserve"> d’</w:t>
      </w:r>
      <w:r>
        <w:rPr>
          <w:i/>
          <w:iCs/>
        </w:rPr>
        <w:t>arcalité</w:t>
      </w:r>
      <w:r>
        <w:rPr/>
        <w:t xml:space="preserve"> désignent quant à elles des configurations historiques dans lesquelles plusieurs couches de légitimation coexistent sans nécessairement se superposer de manière cohérente. C’est le cas, par exemple, des anciennes colonies administrées encore partiellement par des textes hérités de l’époque coloniale, combinés à des normes constitutionnelles récentes, à des régulations internationales et à des codes coutumiers reconnus localement.</w:t>
      </w:r>
    </w:p>
    <w:p>
      <w:pPr>
        <w:pStyle w:val="BodyText"/>
        <w:rPr/>
      </w:pPr>
      <w:r>
        <w:rPr/>
        <w:t>Ici, la source d’autorité est plurielle, non seulement en termes de nature, mais aussi de temporalité. La référence devient mouvante, multiple, différée selon les contextes. La régulation s’y fragilise : on peut toujours justifier une décision en mobilisant la strate qui la permet, sans que cette justification soit nécessairement opposable ou lisible. On peut toujours justifier une décision en choisissant la strate qui l’autorise. Le droit devient un millefeuille, l’</w:t>
      </w:r>
      <w:r>
        <w:rPr>
          <w:i/>
          <w:iCs/>
        </w:rPr>
        <w:t>arcalité</w:t>
      </w:r>
      <w:r>
        <w:rPr/>
        <w:t xml:space="preserve"> un labyrinthe à plusieurs échelles. Il n’y a pas d’illégalité explicite, mais une incertitude de fondement. L’ordre tient sans tenir : chaque geste peut être justifié a posteriori, sans pour autant que la justification ne soit discutable.</w:t>
      </w:r>
    </w:p>
    <w:p>
      <w:pPr>
        <w:pStyle w:val="BodyText"/>
        <w:rPr/>
      </w:pPr>
      <w:r>
        <w:rPr/>
        <w:t xml:space="preserve">D’autres sont des </w:t>
      </w:r>
      <w:r>
        <w:rPr>
          <w:i/>
          <w:iCs/>
        </w:rPr>
        <w:t>formes</w:t>
      </w:r>
      <w:r>
        <w:rPr/>
        <w:t xml:space="preserve"> </w:t>
      </w:r>
      <w:r>
        <w:rPr>
          <w:i/>
          <w:iCs/>
        </w:rPr>
        <w:t>latentes</w:t>
      </w:r>
      <w:r>
        <w:rPr/>
        <w:t xml:space="preserve"> : elles n’apparaissent qu’en cas de crise, de contentieux, de demande explicite de justification. Une autorité ne se montre pas, tant qu’on ne lui demande pas de parler. Ce sont les formes dormantes de l’</w:t>
      </w:r>
      <w:r>
        <w:rPr>
          <w:i/>
          <w:iCs/>
        </w:rPr>
        <w:t>arcalité</w:t>
      </w:r>
      <w:r>
        <w:rPr/>
        <w:t>, celles qui ne s’activent qu’au moment de la dispute ou de la désobéissance. Une plateforme numérique, par exemple, qui suspend un compte sans préavis, peut ensuite invoquer une clause, un algorithme, une condition d’usage pour justifier rétroactivement son geste. L’</w:t>
      </w:r>
      <w:r>
        <w:rPr>
          <w:i/>
          <w:iCs/>
        </w:rPr>
        <w:t>arcalité</w:t>
      </w:r>
      <w:r>
        <w:rPr/>
        <w:t xml:space="preserve"> était là — dans le code, dans les conditions générales, dans l’architecture technique — mais elle n’avait pas besoin de s’exprimer tant qu’elle n’était pas sollicitée ou appelée à l’être.</w:t>
      </w:r>
    </w:p>
    <w:p>
      <w:pPr>
        <w:pStyle w:val="BodyText"/>
        <w:rPr/>
      </w:pPr>
      <w:r>
        <w:rPr/>
        <w:t xml:space="preserve">Une </w:t>
      </w:r>
      <w:r>
        <w:rPr>
          <w:i/>
          <w:iCs/>
        </w:rPr>
        <w:t>arcalité</w:t>
      </w:r>
      <w:r>
        <w:rPr/>
        <w:t xml:space="preserve"> silencieuse peut demeurer opérante : elle fonde sans nécessairement apparaître. Mais ce silence a un coût, car il rend la référence indisponible, difficilement mobilisable, et donc peu propice à une régulation habitable. De plus son silence n’est pas neutre : il produit un régime de fondement fermé, difficilement invocable et donc difficilement contestable. C’est à ce titre qu’une analyse archicratique doit la repérer comme telle, non pour en nier l’existence, mais pour en révéler la forme — </w:t>
      </w:r>
      <w:r>
        <w:rPr>
          <w:i/>
          <w:iCs/>
        </w:rPr>
        <w:t>fondement latent, incorporé</w:t>
      </w:r>
      <w:r>
        <w:rPr/>
        <w:t xml:space="preserve"> ou </w:t>
      </w:r>
      <w:r>
        <w:rPr>
          <w:i/>
          <w:iCs/>
        </w:rPr>
        <w:t>verrouillé</w:t>
      </w:r>
      <w:r>
        <w:rPr/>
        <w:t xml:space="preserve"> — et en évaluer les effets sur la régulation.</w:t>
      </w:r>
    </w:p>
    <w:p>
      <w:pPr>
        <w:pStyle w:val="BodyText"/>
        <w:rPr/>
      </w:pPr>
      <w:r>
        <w:rPr/>
        <w:t xml:space="preserve">Enfin, il faut nommer les </w:t>
      </w:r>
      <w:r>
        <w:rPr>
          <w:i/>
          <w:iCs/>
        </w:rPr>
        <w:t>formes fragilisées</w:t>
      </w:r>
      <w:r>
        <w:rPr/>
        <w:t xml:space="preserve">, celles où le fondement s’effrite, se délite, se contredit ou devient inaudible. Cela peut survenir dans des moments de </w:t>
      </w:r>
      <w:r>
        <w:rPr>
          <w:i/>
          <w:iCs/>
        </w:rPr>
        <w:t>bascule politique</w:t>
      </w:r>
      <w:r>
        <w:rPr/>
        <w:t xml:space="preserve"> (lorsqu’un régime perd sa légitimité sans que d’autre vienne le remplacer), dans des </w:t>
      </w:r>
      <w:r>
        <w:rPr>
          <w:i/>
          <w:iCs/>
        </w:rPr>
        <w:t>légitimations usées</w:t>
      </w:r>
      <w:r>
        <w:rPr/>
        <w:t xml:space="preserve"> (où les justifications se réduisent à des slogans vidés de sens), ou dans des </w:t>
      </w:r>
      <w:r>
        <w:rPr>
          <w:i/>
          <w:iCs/>
        </w:rPr>
        <w:t>scènes saturées</w:t>
      </w:r>
      <w:r>
        <w:rPr/>
        <w:t xml:space="preserve"> (où la surenchère des références empêche toute reconnaissance commune). Une </w:t>
      </w:r>
      <w:r>
        <w:rPr>
          <w:i/>
          <w:iCs/>
        </w:rPr>
        <w:t>arcalité fragilisée</w:t>
      </w:r>
      <w:r>
        <w:rPr/>
        <w:t xml:space="preserve"> se reconnaît souvent à la perte d’effet performatif de ses énoncés : la règle est dite, mais elle n’est plus entendue ; la valeur est affichée, mais elle ne touche plus ; la légitimité est proclamée, mais elle ne porte plus. Ce n’est pas qu’il n’y ait plus de principe, c’est qu’il ne convainc plus et n’engendre plus l’adhésion même implicite. Il y a disjonction entre l’énoncé et l’acte, entre l’autorité proclamée et la reconnaissance effective.</w:t>
      </w:r>
    </w:p>
    <w:p>
      <w:pPr>
        <w:pStyle w:val="BodyText"/>
        <w:rPr/>
      </w:pPr>
      <w:r>
        <w:rPr/>
        <w:t xml:space="preserve">On ne mesure pas la valeur d’une </w:t>
      </w:r>
      <w:r>
        <w:rPr>
          <w:i/>
          <w:iCs/>
        </w:rPr>
        <w:t>arcalité</w:t>
      </w:r>
      <w:r>
        <w:rPr/>
        <w:t xml:space="preserve"> à son degré de célébration ni à sa seule énonciation. Ce qui importe, dans une configuration archicratique, c’est la manière dont un référent se déploie dans un régime donné : s’il peut être reconnu, situé, cité, repris — et cela, sans préjuger de sa stabilité, de son autorité ou de son acceptabilité immédiate.</w:t>
      </w:r>
    </w:p>
    <w:p>
      <w:pPr>
        <w:pStyle w:val="BodyText"/>
        <w:rPr/>
      </w:pPr>
      <w:r>
        <w:rPr/>
        <w:t xml:space="preserve">Une </w:t>
      </w:r>
      <w:r>
        <w:rPr>
          <w:i/>
          <w:iCs/>
        </w:rPr>
        <w:t>arcalité</w:t>
      </w:r>
      <w:r>
        <w:rPr/>
        <w:t xml:space="preserve"> peut être </w:t>
      </w:r>
      <w:r>
        <w:rPr>
          <w:i/>
          <w:iCs/>
        </w:rPr>
        <w:t>implicite, incorporée, ritualisée</w:t>
      </w:r>
      <w:r>
        <w:rPr/>
        <w:t xml:space="preserve">, sans qu’elle cesse pour autant d’agir comme fondement ; elle peut aussi être </w:t>
      </w:r>
      <w:r>
        <w:rPr>
          <w:i/>
          <w:iCs/>
        </w:rPr>
        <w:t>explicite, affichée, documentée</w:t>
      </w:r>
      <w:r>
        <w:rPr/>
        <w:t xml:space="preserve">, tout en demeurant inopérante si elle n’offre aucune prise sur la situation. Ce qui fait sa tenue, ce n’est ni son éclat symbolique, ni sa simplicité formelle, ni son prestige institutionnel, mais sa </w:t>
      </w:r>
      <w:r>
        <w:rPr>
          <w:i/>
          <w:iCs/>
        </w:rPr>
        <w:t>capacité à organiser des régimes de référence dans lesquels un sujet situé peut comprendre ce qui est invoqué contre lui, ou pour lui, et sur quel fondement cela repose.</w:t>
      </w:r>
    </w:p>
    <w:p>
      <w:pPr>
        <w:pStyle w:val="BodyText"/>
        <w:rPr/>
      </w:pPr>
      <w:r>
        <w:rPr/>
        <w:t>Cette capacité est une exigence politique minimale afin qu’il soit possible de faire retour sur ce qui autorise, de demander raison de ce qui se réclame d’un texte, d’un algorithme, d’un droit, d’un récit, d’un code, d’une compétence. Ce retour peut être différé, discret, symbolique ou explicite, mais il doit rester ouvert — ou à tout le moins localisable. Sans cette possibilité, ce n’est pas seulement le fondement qui s’éteint, c’est la régulation elle-même qui devient opaque, mécanique, invocable sans discussion, susceptible d’être reproduite sans être comprise.</w:t>
      </w:r>
    </w:p>
    <w:p>
      <w:pPr>
        <w:pStyle w:val="BodyText"/>
        <w:rPr/>
      </w:pPr>
      <w:r>
        <w:rPr/>
        <w:t xml:space="preserve">Il ne s’agit pas ici de faire l’éloge systématique de la controverse. Certaines </w:t>
      </w:r>
      <w:r>
        <w:rPr>
          <w:i/>
          <w:iCs/>
        </w:rPr>
        <w:t>arcalités</w:t>
      </w:r>
      <w:r>
        <w:rPr/>
        <w:t xml:space="preserve"> peuvent opérer par stabilité, par clôture symbolique, par transmission silencieuse. Ce qui compte, c’est qu’elles laissent une mémoire et une adresse : que ce qui a été invoqué pour justifier une régulation puisse, un jour ou quelque part, être nommé, rapporté, situé, amendé. Ce qui fonde la véracité d’une </w:t>
      </w:r>
      <w:r>
        <w:rPr>
          <w:i/>
          <w:iCs/>
        </w:rPr>
        <w:t>arcalité</w:t>
      </w:r>
      <w:r>
        <w:rPr/>
        <w:t>, c’est la possibilité différée d’une interpellation située, quand bien même cette interpellation resterait exceptionnelle.</w:t>
      </w:r>
    </w:p>
    <w:p>
      <w:pPr>
        <w:pStyle w:val="BodyText"/>
        <w:rPr/>
      </w:pPr>
      <w:r>
        <w:rPr/>
        <w:t xml:space="preserve">En ce sens, </w:t>
      </w:r>
      <w:r>
        <w:rPr>
          <w:i/>
          <w:iCs/>
        </w:rPr>
        <w:t>la vitalité des arcalités réside dans leur habitabilité différenciée</w:t>
      </w:r>
      <w:r>
        <w:rPr/>
        <w:t xml:space="preserve"> : dans leur aptitude à produire du sens commun, à organiser un horizon de compréhension et, si besoin, à se prêter à l’interprétation et à la révision sans se dissoudre. Le conflit n’est pas la condition de l’autorité, mais l’épreuve de sa tenue. Une régulation ne gagne pas à être perpétuellement contestée, mais elle devient dangereuse dès lors que son fondement cesse d’être adressable, nommable, interrogeable, dans un temps suspendu ou dans une langue partagée.</w:t>
      </w:r>
    </w:p>
    <w:p>
      <w:pPr>
        <w:pStyle w:val="BodyText"/>
        <w:rPr/>
      </w:pPr>
      <w:r>
        <w:rPr/>
        <w:t xml:space="preserve">Voilà pourquoi la </w:t>
      </w:r>
      <w:r>
        <w:rPr>
          <w:i/>
          <w:iCs/>
        </w:rPr>
        <w:t>scène</w:t>
      </w:r>
      <w:r>
        <w:rPr/>
        <w:t xml:space="preserve"> n’est pas le lieu de l’</w:t>
      </w:r>
      <w:r>
        <w:rPr>
          <w:i/>
          <w:iCs/>
        </w:rPr>
        <w:t>arcalité</w:t>
      </w:r>
      <w:r>
        <w:rPr/>
        <w:t xml:space="preserve">, mais le test différé de sa consistance. Un fondement qui n’accepte jamais d’être rapporté, qui se dérobe à toute citation ou toute mise en récit, peut encore opérer — mais il le fait alors comme autorité close, quasi arbitraire, non comme référence reconnue et légitime. C’est là que se joue, en creux, la distinction entre </w:t>
      </w:r>
      <w:r>
        <w:rPr>
          <w:i/>
          <w:iCs/>
        </w:rPr>
        <w:t>arcalité</w:t>
      </w:r>
      <w:r>
        <w:rPr/>
        <w:t xml:space="preserve"> et dogme, entre </w:t>
      </w:r>
      <w:r>
        <w:rPr>
          <w:i/>
          <w:iCs/>
        </w:rPr>
        <w:t>source de régulation</w:t>
      </w:r>
      <w:r>
        <w:rPr/>
        <w:t xml:space="preserve"> et force sans fondement.</w:t>
      </w:r>
    </w:p>
    <w:p>
      <w:pPr>
        <w:pStyle w:val="BodyText"/>
        <w:rPr/>
      </w:pPr>
      <w:r>
        <w:rPr/>
        <w:t xml:space="preserve">Une </w:t>
      </w:r>
      <w:r>
        <w:rPr>
          <w:i/>
          <w:iCs/>
        </w:rPr>
        <w:t>arcalité</w:t>
      </w:r>
      <w:r>
        <w:rPr/>
        <w:t xml:space="preserve">, aussi tenue soit-elle, ne produit rien par elle-même. Elle doit être transmise, relayée, exécutée — autrement dit : insérée dans des chaînes d’action qui en déterminent la forme vécue. Ce n’est qu’en passant dans la </w:t>
      </w:r>
      <w:r>
        <w:rPr>
          <w:i/>
          <w:iCs/>
        </w:rPr>
        <w:t>cratialité</w:t>
      </w:r>
      <w:r>
        <w:rPr/>
        <w:t xml:space="preserve"> que le fondement devient effet. Elle doit être transmise, articulée, opérée et agissante. Car l’</w:t>
      </w:r>
      <w:r>
        <w:rPr>
          <w:i/>
          <w:iCs/>
        </w:rPr>
        <w:t>arcalité</w:t>
      </w:r>
      <w:r>
        <w:rPr/>
        <w:t xml:space="preserve"> appelle des gestes, des actions, des chaînes, des dispositifs. Ce n’est alors plus le principe ou la justification qui importe, mais ce qui le fait agir, ce qui en produit les effets, ce qui l’exécute, l’altère ou l’interprète dans l’épreuve des opérations. C’est à cette dynamique concrète que nous allons désormais nous confronter.</w:t>
      </w:r>
    </w:p>
    <w:p>
      <w:pPr>
        <w:pStyle w:val="Heading3"/>
        <w:numPr>
          <w:ilvl w:val="2"/>
          <w:numId w:val="2"/>
        </w:numPr>
        <w:rPr/>
      </w:pPr>
      <w:r>
        <w:rPr>
          <w:b/>
          <w:bCs/>
        </w:rPr>
        <w:t xml:space="preserve">1.7.2 — Les </w:t>
      </w:r>
      <w:r>
        <w:rPr>
          <w:b/>
          <w:bCs/>
          <w:i/>
          <w:iCs/>
        </w:rPr>
        <w:t>formes de cratialité</w:t>
      </w:r>
      <w:r>
        <w:rPr>
          <w:b/>
          <w:bCs/>
        </w:rPr>
        <w:t xml:space="preserve"> : gestes qui opèrent, chaînes qui articulent, agencements qui contraignent</w:t>
      </w:r>
    </w:p>
    <w:p>
      <w:pPr>
        <w:pStyle w:val="BodyText"/>
        <w:rPr/>
      </w:pPr>
      <w:r>
        <w:rPr/>
        <w:t>Si l’</w:t>
      </w:r>
      <w:r>
        <w:rPr>
          <w:i/>
          <w:iCs/>
        </w:rPr>
        <w:t>arcalité</w:t>
      </w:r>
      <w:r>
        <w:rPr/>
        <w:t xml:space="preserve"> désigne ce qui fonde, légitime ou autorise un ordre — qu’il s’énonce explicitement ou qu’il agisse de manière incorporée ou silencieuse —, alors la </w:t>
      </w:r>
      <w:r>
        <w:rPr>
          <w:i/>
          <w:iCs/>
        </w:rPr>
        <w:t>cratialité</w:t>
      </w:r>
      <w:r>
        <w:rPr/>
        <w:t xml:space="preserve"> en constitue la réalité opératoire. Ce n’est ni le moment de la décision ni le lieu du fondement : c’est la dynamique par laquelle un ordre institué agit effectivement, se déploie, s’ajuste, se répercute ou se distord à travers un ensemble d’opérations concrètes. Elle est la dimension performative de la régulation, non comme intention d’agir, mais comme effet produit dans un espace situé.</w:t>
      </w:r>
    </w:p>
    <w:p>
      <w:pPr>
        <w:pStyle w:val="BodyText"/>
        <w:rPr/>
      </w:pPr>
      <w:r>
        <w:rPr/>
        <w:t xml:space="preserve">Ce qui s’opère ici ne se réduit pas à l’exécution mécanique d’une norme. Il s’agit d’une articulation composite, faite de gestes matériels ou numériques, de relais humains ou non-humains, de dispositifs techniques, de temporalités différenciées, de scripts formalisés, de tolérances implicites, de seuils codés, d’interfaces visibles ou d’arrière-plans silencieux. Une </w:t>
      </w:r>
      <w:r>
        <w:rPr>
          <w:i/>
          <w:iCs/>
        </w:rPr>
        <w:t>cratialité</w:t>
      </w:r>
      <w:r>
        <w:rPr/>
        <w:t xml:space="preserve"> ne tient ni dans la déclaration de la règle ni dans l’idéal de sa mise en œuvre, mais dans la </w:t>
      </w:r>
      <w:r>
        <w:rPr>
          <w:i/>
          <w:iCs/>
        </w:rPr>
        <w:t>consistance réelle d’un agencement d’opérations effectives</w:t>
      </w:r>
      <w:r>
        <w:rPr/>
        <w:t xml:space="preserve">. Et c’est là qu’elle se distingue fondamentalement de l’arcalité : une </w:t>
      </w:r>
      <w:r>
        <w:rPr>
          <w:i/>
          <w:iCs/>
        </w:rPr>
        <w:t>cratialité</w:t>
      </w:r>
      <w:r>
        <w:rPr/>
        <w:t xml:space="preserve"> est une chaîne, une trame, une scénographie d’opérations situées, articulées, incarnées par des agents ou des opérateurs.</w:t>
      </w:r>
    </w:p>
    <w:p>
      <w:pPr>
        <w:pStyle w:val="BodyText"/>
        <w:rPr/>
      </w:pPr>
      <w:r>
        <w:rPr/>
        <w:t xml:space="preserve">Le </w:t>
      </w:r>
      <w:r>
        <w:rPr>
          <w:i/>
          <w:iCs/>
        </w:rPr>
        <w:t>geste cratial</w:t>
      </w:r>
      <w:r>
        <w:rPr/>
        <w:t xml:space="preserve"> n’est pas nécessairement humain. Il peut s’incarner dans une ligne de code, dans un virement bancaire, dans une architecture réseau, dans une signalisation, dans un protocole, dans une latence calculée, dans une tolérance institutionnelle, dans un usage répété. En cela, la </w:t>
      </w:r>
      <w:r>
        <w:rPr>
          <w:i/>
          <w:iCs/>
        </w:rPr>
        <w:t>cratialité</w:t>
      </w:r>
      <w:r>
        <w:rPr/>
        <w:t xml:space="preserve"> revêt de multiples forces dans divers lieux et divers temps. Ce qui fait </w:t>
      </w:r>
      <w:r>
        <w:rPr>
          <w:i/>
          <w:iCs/>
        </w:rPr>
        <w:t>cratialité</w:t>
      </w:r>
      <w:r>
        <w:rPr/>
        <w:t xml:space="preserve">, c’est surtout l’effet produit dans un régime soumis à régulation. Ce peut être le clic à vide qui bloque l’accès à un droit, la boucle algorithmique qui conditionne une orientation scolaire, la manivelle qui déclenche une alarme, la note administrative qui suspend une allocation, le formulaire qui exige une pièce impossible à fournir : tous ces gestes, dès lors qu’ils modulent l’état d’un sujet, configurent une </w:t>
      </w:r>
      <w:r>
        <w:rPr>
          <w:i/>
          <w:iCs/>
        </w:rPr>
        <w:t>opération cratiale</w:t>
      </w:r>
      <w:r>
        <w:rPr/>
        <w:t>.</w:t>
      </w:r>
    </w:p>
    <w:p>
      <w:pPr>
        <w:pStyle w:val="BodyText"/>
        <w:rPr/>
      </w:pPr>
      <w:r>
        <w:rPr/>
        <w:t xml:space="preserve">Elle peut se déployer dans des </w:t>
      </w:r>
      <w:r>
        <w:rPr>
          <w:i/>
          <w:iCs/>
        </w:rPr>
        <w:t>régimes centralisés</w:t>
      </w:r>
      <w:r>
        <w:rPr/>
        <w:t xml:space="preserve"> — un portail numérique unique de déclaration sociale —, ou dans des </w:t>
      </w:r>
      <w:r>
        <w:rPr>
          <w:i/>
          <w:iCs/>
        </w:rPr>
        <w:t>configurations décentralisées, voire distribuées</w:t>
      </w:r>
      <w:r>
        <w:rPr/>
        <w:t xml:space="preserve"> — comme les chaînes d’évaluation dans les démarches de reconnaissance professionnelle, qui multiplient les intermédiaires, les validations, les interprétations. Mais aussi dans un hôpital, lorsque le fait d’être soigné ne dépend pas exclusivement d’un médecin. Il traverse alors des scripts de tri, des routines de priorisation, des flux de traitement, des ajustements de disponibilité, des tolérances organisationnelles. Il en résulte un ordre d’accès composite, fait d’anticipations, de goulots d’étranglement, d’écarts tolérés, de raccourcis assumés — et c’est cette chaîne-là qui constitue la </w:t>
      </w:r>
      <w:r>
        <w:rPr>
          <w:i/>
          <w:iCs/>
        </w:rPr>
        <w:t>cratialité</w:t>
      </w:r>
      <w:r>
        <w:rPr/>
        <w:t xml:space="preserve"> réelle de la régulation hospitalière.</w:t>
      </w:r>
    </w:p>
    <w:p>
      <w:pPr>
        <w:pStyle w:val="BodyText"/>
        <w:rPr/>
      </w:pPr>
      <w:r>
        <w:rPr/>
        <w:t xml:space="preserve">Il faut ici récuser toute vision gestionnaire ou techniciste. La </w:t>
      </w:r>
      <w:r>
        <w:rPr>
          <w:i/>
          <w:iCs/>
        </w:rPr>
        <w:t>cratialité</w:t>
      </w:r>
      <w:r>
        <w:rPr/>
        <w:t xml:space="preserve"> ne se résume pas à un processus d’optimisation. Elle n’a pas pour finalité d’assurer l’efficacité d’un dispositif, mais de rendre intelligible les formes d’effectuation concrète d’un ordre. Une chaîne de traitement peut être rapide, fluide, bien documentée — et pourtant rigide, incompréhensible, impitoyable. À l’inverse, une </w:t>
      </w:r>
      <w:r>
        <w:rPr>
          <w:i/>
          <w:iCs/>
        </w:rPr>
        <w:t>cratialité</w:t>
      </w:r>
      <w:r>
        <w:rPr/>
        <w:t xml:space="preserve"> peut être lente, manuelle, fragmentée — mais ménager des seuils d’ajustement, des lieux d’appel, des moments d’interruption qui la rendent habitable. Ce n’est pas le style de l’opération qui compte, mais sa capacité à articuler des effets dans une configuration régulatrice spécifique.</w:t>
      </w:r>
    </w:p>
    <w:p>
      <w:pPr>
        <w:pStyle w:val="BodyText"/>
        <w:rPr/>
      </w:pPr>
      <w:r>
        <w:rPr/>
        <w:t xml:space="preserve">Cette articulation engage la matérialité des infrastructures comme la plasticité des rôles. Un </w:t>
      </w:r>
      <w:r>
        <w:rPr>
          <w:i/>
          <w:iCs/>
        </w:rPr>
        <w:t>geste cratial</w:t>
      </w:r>
      <w:r>
        <w:rPr/>
        <w:t xml:space="preserve"> est conditionné par une forme, un outil, une procédure, un délai, un seuil, un langage. Lorsqu’un distributeur automatique refuse un retrait parce que le compte est bloqué, il ne fait qu’opérer un effet déjà inscrit ailleurs dans une chaîne bancaire : encodage d’un score de risque, clôture discrète d’un accès, préemption sur des soldes en litige. Le geste, ici, est purement machinique, mais sa </w:t>
      </w:r>
      <w:r>
        <w:rPr>
          <w:i/>
          <w:iCs/>
        </w:rPr>
        <w:t>cratialité</w:t>
      </w:r>
      <w:r>
        <w:rPr/>
        <w:t xml:space="preserve"> est pleine : il transforme une trajectoire, conditionne une action, produit un effet de contrainte — sur une justification faiblement visible et dans une scène d’épreuve neutralisée, reléguée ou pratiquement hors de portée.</w:t>
      </w:r>
    </w:p>
    <w:p>
      <w:pPr>
        <w:pStyle w:val="BodyText"/>
        <w:rPr/>
      </w:pPr>
      <w:r>
        <w:rPr/>
        <w:t xml:space="preserve">C’est précisément cette possibilité de neutralisation, de relocalisation ou d’inopérance de la scène qui rend la cratialité décisive dans notre paradigme. Car elle travaille en amont de toute possible contestation et en aval de tout fondement. Elle agit avant la réclamation et après le principe. Elle ne parle pas, mais elle configure les possibilités d’action : ce que l’on peut faire, ce que l’on doit fournir, où l’on peut passer, avec qui l’on peut parler, à quel moment une procédure ou une démarche est susceptible de relance ou s’avère réellement close. En cela, ce sont les chaînes opératoires — non pas les discours — qui rendent compte du régime véritable d’un ordre. En quelque sorte, elle en révèle </w:t>
      </w:r>
      <w:r>
        <w:rPr>
          <w:i/>
          <w:iCs/>
        </w:rPr>
        <w:t>sa conduite</w:t>
      </w:r>
      <w:r>
        <w:rPr/>
        <w:t xml:space="preserve"> et </w:t>
      </w:r>
      <w:r>
        <w:rPr>
          <w:i/>
          <w:iCs/>
        </w:rPr>
        <w:t>son conduit</w:t>
      </w:r>
      <w:r>
        <w:rPr/>
        <w:t>.</w:t>
      </w:r>
    </w:p>
    <w:p>
      <w:pPr>
        <w:pStyle w:val="BodyText"/>
        <w:rPr/>
      </w:pPr>
      <w:r>
        <w:rPr/>
        <w:t xml:space="preserve">Dans les pratiques sociales ordinaires, la </w:t>
      </w:r>
      <w:r>
        <w:rPr>
          <w:i/>
          <w:iCs/>
        </w:rPr>
        <w:t>cratialité</w:t>
      </w:r>
      <w:r>
        <w:rPr/>
        <w:t xml:space="preserve"> se manifeste sans protocole formel. Lorsqu’un étudiant s’adresse à un secrétariat, lorsqu’un réfugié tente d’accéder à un guichet saturé, lorsqu’un malade cherche un rendez-vous sur Doctolib, ce ne sont pas les normes écrites qui produisent la régulation, mais les séquences d’opérations réelles : les créneaux disponibles, la tolérance de l’agent, la posture du guichet, l’existence ou non d’un canal alternatif, la résilience du dispositif face à la surcharge. Une </w:t>
      </w:r>
      <w:r>
        <w:rPr>
          <w:i/>
          <w:iCs/>
        </w:rPr>
        <w:t>cratialité</w:t>
      </w:r>
      <w:r>
        <w:rPr/>
        <w:t xml:space="preserve"> se reconnaît au fait que le sujet modifie son agir en fonction de la chaîne d’effectuation perçue ou anticipée — même s’il n’en connaît ni la structure ni les règles exactes.</w:t>
      </w:r>
    </w:p>
    <w:p>
      <w:pPr>
        <w:pStyle w:val="BodyText"/>
        <w:rPr/>
      </w:pPr>
      <w:r>
        <w:rPr/>
        <w:t xml:space="preserve">On ne saurait confiner la </w:t>
      </w:r>
      <w:r>
        <w:rPr>
          <w:i/>
          <w:iCs/>
        </w:rPr>
        <w:t>cratialité</w:t>
      </w:r>
      <w:r>
        <w:rPr/>
        <w:t xml:space="preserve"> à l’espace institutionnel. Dans les écosystèmes marchands, elle structure l’accès aux marchés, la hiérarchie des clientèles, les espaces de vente, les rythmes de renouvellement ou même les circuits de réparation ou de mis au rebut. Par exemple, lorsqu’une marque verrouille la possibilité de réparer un appareil, ou lorsqu’une place de marché reporte une commande pour maximiser un panier moyen, c’est une </w:t>
      </w:r>
      <w:r>
        <w:rPr>
          <w:i/>
          <w:iCs/>
        </w:rPr>
        <w:t>cratialité</w:t>
      </w:r>
      <w:r>
        <w:rPr/>
        <w:t xml:space="preserve"> qui opère : non pas sous la forme d’une interdiction, mais d’un ajustement implicite des possibilités d’action sous-jacentes ou connexes. De même, dans l’univers du crédit à la consommation, les seuils de déclenchement, les routines de relance, les scripts d’acceptation et de rejet, les boucles d’endettement structurent une régulation par la dette — sans qu’aucune scène d’autorité n’ait à apparaître.</w:t>
      </w:r>
    </w:p>
    <w:p>
      <w:pPr>
        <w:pStyle w:val="BodyText"/>
        <w:rPr/>
      </w:pPr>
      <w:r>
        <w:rPr/>
        <w:t xml:space="preserve">Dans les logiques environnementales, la </w:t>
      </w:r>
      <w:r>
        <w:rPr>
          <w:i/>
          <w:iCs/>
        </w:rPr>
        <w:t>cratialité</w:t>
      </w:r>
      <w:r>
        <w:rPr/>
        <w:t xml:space="preserve"> peut prendre la forme de barrières physiques (clôtures, canaux), d’interdictions de prélèvement, de modulations de quota, de déclencheurs de dispositifs d’alerte. De sorte qu’un niveau de pollution franchi peut suspendre le trafic, rediriger des flux, interdire l’usage d’une zone — par l’effet combiné d’instruments de mesure, de seuils préprogrammés et de dispositifs de verrouillage. Cette régulation ne suppose ni acteur visible ni débat public. Elle agit par chaîne. Et c’est cette chaîne — non sa justification — qui par exemple constitue le </w:t>
      </w:r>
      <w:r>
        <w:rPr>
          <w:i/>
          <w:iCs/>
        </w:rPr>
        <w:t>régime cratial</w:t>
      </w:r>
      <w:r>
        <w:rPr/>
        <w:t xml:space="preserve"> de la gestion écologique — dans les faits.</w:t>
      </w:r>
    </w:p>
    <w:p>
      <w:pPr>
        <w:pStyle w:val="BodyText"/>
        <w:rPr/>
      </w:pPr>
      <w:r>
        <w:rPr/>
        <w:t xml:space="preserve">On retrouve ce même mécanisme dans les mécanismes migratoires : un dispositif de visa, un fichier de police, une fermeture administrative, une alerte biométrique, un fichier d’exclusion partagé de ressortissants entre États. Chacun de ces gestes — souvent silencieux, parfois automatisé — transforme l’état d’un sujet sans jamais apparaître comme une décision. Il ne s’agit pas d’arbitraire, mais de </w:t>
      </w:r>
      <w:r>
        <w:rPr>
          <w:i/>
          <w:iCs/>
        </w:rPr>
        <w:t>cratialité brute et opaque</w:t>
      </w:r>
      <w:r>
        <w:rPr/>
        <w:t xml:space="preserve"> : une régulation agissant par action différée, à scène neutralisée ou relocalisée, et à fondement implicite, euphémisé ou difficilement exposable.</w:t>
      </w:r>
    </w:p>
    <w:p>
      <w:pPr>
        <w:pStyle w:val="BodyText"/>
        <w:rPr/>
      </w:pPr>
      <w:r>
        <w:rPr/>
        <w:t xml:space="preserve">Le problème fondamental n’est donc pas à nos yeux de savoir si une régulation est automatisée ou humaine, numérique ou analogique. Ce qui importe, c’est la morphologie de la chaîne d’effectuation : </w:t>
      </w:r>
      <w:r>
        <w:rPr>
          <w:i/>
          <w:iCs/>
        </w:rPr>
        <w:t>peut-on en reconstituer les étapes ? Qui ou qu’est-ce qui a agi durant celles-ci ? Au nom de quoi ? Quelles ont été concrètement les actions conduites ? Quels en ont été leurs effets ? Au profit ou au détriment de qui ? Existe-t-il des seuils de suspension ? des marges de correction ? des points d’interruption ?</w:t>
      </w:r>
      <w:r>
        <w:rPr/>
        <w:t xml:space="preserve"> Voilà autant de questions qui constituent la tenue d’une enquête sur la </w:t>
      </w:r>
      <w:r>
        <w:rPr>
          <w:i/>
          <w:iCs/>
        </w:rPr>
        <w:t>cratialité</w:t>
      </w:r>
      <w:r>
        <w:rPr/>
        <w:t xml:space="preserve">. C’est ce à quoi le paradigme archicratique s’attèle, et ce qu’elle entend </w:t>
      </w:r>
      <w:r>
        <w:rPr>
          <w:i/>
          <w:iCs/>
        </w:rPr>
        <w:t>in fine</w:t>
      </w:r>
      <w:r>
        <w:rPr/>
        <w:t xml:space="preserve"> saisir : une topologie factuelle des régimes opératoires prise dans des situations effectives.</w:t>
      </w:r>
    </w:p>
    <w:p>
      <w:pPr>
        <w:pStyle w:val="BodyText"/>
        <w:rPr/>
      </w:pPr>
      <w:r>
        <w:rPr/>
        <w:t xml:space="preserve">Mais une </w:t>
      </w:r>
      <w:r>
        <w:rPr>
          <w:i/>
          <w:iCs/>
        </w:rPr>
        <w:t>cratialité</w:t>
      </w:r>
      <w:r>
        <w:rPr/>
        <w:t xml:space="preserve"> ne se définit pas uniquement par sa capacité à produire un effet : elle se mesure aussi à sa tenue dans le temps, à sa stabilité opérationnelle, à sa modularité sous contrainte, à sa résilience face à l’imprévu. Car une chaîne opératoire n’existe jamais à l’état pur. Elle peut s’user, se tendre, se corrompre, rompre ou bifurquer. Elle se voit parfois contournée, saturée, détournée, paralysée, ou plus discrètement reconfigurée. Une </w:t>
      </w:r>
      <w:r>
        <w:rPr>
          <w:i/>
          <w:iCs/>
        </w:rPr>
        <w:t>morphologie cratiale</w:t>
      </w:r>
      <w:r>
        <w:rPr/>
        <w:t xml:space="preserve"> est donc exposée à des dynamiques de dégradation, de fragilisation, mais aussi de rétablissement, d’ajustement, voire d’invention ou d’innovation.</w:t>
      </w:r>
    </w:p>
    <w:p>
      <w:pPr>
        <w:pStyle w:val="BodyText"/>
        <w:rPr/>
      </w:pPr>
      <w:r>
        <w:rPr/>
        <w:t xml:space="preserve">Il faut insister ici sur un point : toute </w:t>
      </w:r>
      <w:r>
        <w:rPr>
          <w:i/>
          <w:iCs/>
        </w:rPr>
        <w:t>cratialité</w:t>
      </w:r>
      <w:r>
        <w:rPr/>
        <w:t xml:space="preserve"> robustement constituée doit incorporer la possibilité d’une reprise comme structure interne indispensable. Une </w:t>
      </w:r>
      <w:r>
        <w:rPr>
          <w:i/>
          <w:iCs/>
        </w:rPr>
        <w:t>chaîne cratiale</w:t>
      </w:r>
      <w:r>
        <w:rPr/>
        <w:t xml:space="preserve"> sans seuil de suspension, sans point de retour, sans espace de correction, sans marge d’interruption ne gagne pas nécessairement en efficacité, elle bascule surtout alors dans l’autonomie. Elle cesse d’être opératoire au sens archicratique pour devenir mécanique autoritaire — c’est-à-dire, précisément, une chaîne close sur elle-même — indifférente à la perturbation comme au contexte.</w:t>
      </w:r>
    </w:p>
    <w:p>
      <w:pPr>
        <w:pStyle w:val="BodyText"/>
        <w:rPr/>
      </w:pPr>
      <w:r>
        <w:rPr/>
        <w:t xml:space="preserve">Au contraire, une </w:t>
      </w:r>
      <w:r>
        <w:rPr>
          <w:i/>
          <w:iCs/>
        </w:rPr>
        <w:t>cratialité</w:t>
      </w:r>
      <w:r>
        <w:rPr/>
        <w:t xml:space="preserve"> bien tenue ménage ses seuils de réversibilité. Un formulaire annulable, un outil remplaçable, une opération suspensive, une procédure rattrapable : autant de configurations qui ne nuisent pas à l’ordre, mais en assurent l’intégrité morphologique. On retrouve ici une propriété critique : la capacité à se reprendre sans se déliter. C’est ce qui fait qu’un dispositif d’action peut être réajusté, relancé, corrigé depuis ses propres règles internes, sans nécessiter un appel extérieur.</w:t>
      </w:r>
    </w:p>
    <w:p>
      <w:pPr>
        <w:pStyle w:val="BodyText"/>
        <w:rPr/>
      </w:pPr>
      <w:r>
        <w:rPr/>
        <w:t xml:space="preserve">À l’inverse, lorsque cette réversibilité fait défaut, c’est une </w:t>
      </w:r>
      <w:r>
        <w:rPr>
          <w:i/>
          <w:iCs/>
        </w:rPr>
        <w:t>configuration cratiale</w:t>
      </w:r>
      <w:r>
        <w:rPr/>
        <w:t xml:space="preserve"> entière qui devient problématique. Le sujet affecté devient captif d’une chaîne inappropriée ; l’agent devient impuissant à infléchir le processus ; la structure devient autistique, sourde à l’exception, insensible aux calibres, aveugle aux gabarits. Dans ces cas, la </w:t>
      </w:r>
      <w:r>
        <w:rPr>
          <w:i/>
          <w:iCs/>
        </w:rPr>
        <w:t>cratialité</w:t>
      </w:r>
      <w:r>
        <w:rPr/>
        <w:t xml:space="preserve"> ne disparaît pas : elle s’enkyste. Elle continue certes d’opérer, mais sans contact avec le réel et aux effets engendrés.</w:t>
      </w:r>
    </w:p>
    <w:p>
      <w:pPr>
        <w:pStyle w:val="BodyText"/>
        <w:rPr/>
      </w:pPr>
      <w:r>
        <w:rPr/>
        <w:t xml:space="preserve">Cette </w:t>
      </w:r>
      <w:r>
        <w:rPr>
          <w:i/>
          <w:iCs/>
        </w:rPr>
        <w:t>fragilisation cratiale</w:t>
      </w:r>
      <w:r>
        <w:rPr/>
        <w:t xml:space="preserve"> peut prendre des formes très diverses. Elle peut être le produit d’une surcharge : trop de demandes, trop peu de relais, trop d’automatisme, trop d’étapes. Elle peut être due à une configuration rigide : un script mal pensé, un ordre de traitement non modifiable, un couplage trop serré entre modules. Elle peut venir d’une mauvaise attribution : trop de délégation sans vérification, trop d’autonomie sans articulation, trop d’interfaces sans mémoire. Dans tous les cas, ce qui se délite n’est pas la norme, mais l’agencement opératoire lui-même — ses points de contact, ses seuils de bascule, sa cadence ou sa capacité à absorber la friction. C’est la production de l’ordre tout entier qui se voit en pâtir.</w:t>
      </w:r>
    </w:p>
    <w:p>
      <w:pPr>
        <w:pStyle w:val="BodyText"/>
        <w:rPr/>
      </w:pPr>
      <w:r>
        <w:rPr/>
        <w:t xml:space="preserve">Or, cette friction n’est pas accidentelle. Elle fait partie intégrante des </w:t>
      </w:r>
      <w:r>
        <w:rPr>
          <w:i/>
          <w:iCs/>
        </w:rPr>
        <w:t>formes cratiales</w:t>
      </w:r>
      <w:r>
        <w:rPr/>
        <w:t xml:space="preserve">. On pourrait même dire qu’il n’y a pas de </w:t>
      </w:r>
      <w:r>
        <w:rPr>
          <w:i/>
          <w:iCs/>
        </w:rPr>
        <w:t>cratialité</w:t>
      </w:r>
      <w:r>
        <w:rPr/>
        <w:t xml:space="preserve"> sans tension interne. Un dispositif parfaitement lisse, sans écarts, sans résistances, sans latences, est un mythe gestionnaire. Il suppose un monde sans aléas, sans corps, sans esprits, sans incidents. Mais les chaînes opératoires réelles — qu’elles soient administratives, logistiques, environnementales, numériques, économiques ou sociales — sont traversées de bruits, de retards, de rétentions, de surcharges, de forçages, de contestations même silencieuses. Ce sont aussi ces frictions — et la manière dont la chaîne y répond — qui donnent à une </w:t>
      </w:r>
      <w:r>
        <w:rPr>
          <w:i/>
          <w:iCs/>
        </w:rPr>
        <w:t>cratialité</w:t>
      </w:r>
      <w:r>
        <w:rPr/>
        <w:t xml:space="preserve"> sa texture propre.</w:t>
      </w:r>
    </w:p>
    <w:p>
      <w:pPr>
        <w:pStyle w:val="BodyText"/>
        <w:rPr/>
      </w:pPr>
      <w:r>
        <w:rPr/>
        <w:t xml:space="preserve">À ce titre, il faut comprendre que la </w:t>
      </w:r>
      <w:r>
        <w:rPr>
          <w:i/>
          <w:iCs/>
        </w:rPr>
        <w:t>conflictualité cratiale</w:t>
      </w:r>
      <w:r>
        <w:rPr/>
        <w:t xml:space="preserve"> n’est pas l’apanage des grands affrontements. Elle peut être infime, infra-minimale, larvée : un bug récurrent qu’aucun agent ne sait résoudre, une désactivation discrète d’un module jugé trop exposant, une grève par un service en surcharge, un refus d’exécuter un ordre trop flou ou controversé, une latence volontaire introduite dans le système pour ralentir le flux. Toutes ces micro-déviations — qu’elles soient humaines, non-humaines ou techniques — ne suspendent pas nécessairement la chaîne, mais en modifient silencieusement l’opérativité. Ce sont des </w:t>
      </w:r>
      <w:r>
        <w:rPr>
          <w:i/>
          <w:iCs/>
        </w:rPr>
        <w:t>formes cratiales</w:t>
      </w:r>
      <w:r>
        <w:rPr/>
        <w:t xml:space="preserve"> de résistance, non déclarées, mais effectives.</w:t>
      </w:r>
    </w:p>
    <w:p>
      <w:pPr>
        <w:pStyle w:val="BodyText"/>
        <w:rPr/>
      </w:pPr>
      <w:r>
        <w:rPr/>
        <w:t xml:space="preserve">Autrement dit : le sabotage, la friction, la fuite, le ralentissement, la désactivation, la grève, la redondance, le blocage localisé — tout cela fait partie des </w:t>
      </w:r>
      <w:r>
        <w:rPr>
          <w:i/>
          <w:iCs/>
        </w:rPr>
        <w:t>régimes cratiaux</w:t>
      </w:r>
      <w:r>
        <w:rPr/>
        <w:t>. Ce sont des gestes qui modulent l’enchaînement, qui bloquent un relais, qui désactivent un seuil, qui créent une bifurcation dans le flux, sans pour autant quitter le plan de l’opération. Il s’agit d’opérer dans la chaîne : d’en éprouver la plasticité, d’en redessiner les flux, de court-circuiter un effet, de reprogrammer une action.</w:t>
      </w:r>
    </w:p>
    <w:p>
      <w:pPr>
        <w:pStyle w:val="BodyText"/>
        <w:rPr/>
      </w:pPr>
      <w:r>
        <w:rPr/>
        <w:t xml:space="preserve">Prenons ici quelques exemples empiriques, non pour illustrer, mais pour inscrire ces mécanismes dans des formes attestées. Lorsqu’un agent de guichet ralentit volontairement le traitement d’un dossier pour ménager un délai de respiration dans une procédure trop brutale — il n’interrompt pas la </w:t>
      </w:r>
      <w:r>
        <w:rPr>
          <w:i/>
          <w:iCs/>
        </w:rPr>
        <w:t>cratialité</w:t>
      </w:r>
      <w:r>
        <w:rPr/>
        <w:t>, il la reconfigure temporairement. Lorsqu’un réseau de soutien organise le contournement logistique d’un dispositif d’exclusion (hébergement provisoire, traduction des procédures, aide à la complétude de dossiers), il ne suspend pas l’ordre, il agit sur ses relais. Lorsqu’un collectif militant diffuse une extension qui neutralise un algorithme de recommandation, il ne produit pas une alternative discursive — il modifie le geste.</w:t>
      </w:r>
    </w:p>
    <w:p>
      <w:pPr>
        <w:pStyle w:val="BodyText"/>
        <w:rPr/>
      </w:pPr>
      <w:r>
        <w:rPr/>
        <w:t xml:space="preserve">Dans chacun de ces cas, ce qui est touché, ce n’est ni la règle ni le texte : c’est l’enchaînement lui-même. Et ce geste — quand bien même silencieux — est bien </w:t>
      </w:r>
      <w:r>
        <w:rPr>
          <w:i/>
          <w:iCs/>
        </w:rPr>
        <w:t>cratial</w:t>
      </w:r>
      <w:r>
        <w:rPr/>
        <w:t>.</w:t>
      </w:r>
    </w:p>
    <w:p>
      <w:pPr>
        <w:pStyle w:val="BodyText"/>
        <w:rPr/>
      </w:pPr>
      <w:r>
        <w:rPr/>
        <w:t xml:space="preserve">C’est dans ce registre qu’il faut aussi penser les formes de retrait comme reconfiguration. Ainsi, lorsqu’un gestionnaire de plateforme désactive, sans avertissement, un bouton de désabonnement pour un service payant, ce n’est pas un oubli ergonomique : c’est une désarticulation intentionnelle d’un geste opératoire, visant à bloquer un enchaînement qui permettrait au sujet d’agir selon ses intentions ou ses objectifs. De même, dans certaines plateformes de services publics, le retrait silencieux d’une fonction de dépôt — sans nouvelle procédure annoncée — crée une </w:t>
      </w:r>
      <w:r>
        <w:rPr>
          <w:i/>
          <w:iCs/>
        </w:rPr>
        <w:t>zone cratiale fantôme</w:t>
      </w:r>
      <w:r>
        <w:rPr/>
        <w:t xml:space="preserve"> : la chaîne continue d’opérer en arrière-plan (décisions, échéances, pénalités), mais sans possibilité d’intervention active du sujet régulé. Ici, le retrait n’annule pas l’opération, il la désindexe du geste attendu. Et c’est précisément cette désindexation qui redéfinit la morphologie de la régulation.</w:t>
      </w:r>
    </w:p>
    <w:p>
      <w:pPr>
        <w:pStyle w:val="BodyText"/>
        <w:rPr/>
      </w:pPr>
      <w:r>
        <w:rPr/>
        <w:t xml:space="preserve">Ces formes de retrait peuvent être </w:t>
      </w:r>
      <w:r>
        <w:rPr>
          <w:i/>
          <w:iCs/>
        </w:rPr>
        <w:t>discrètes</w:t>
      </w:r>
      <w:r>
        <w:rPr/>
        <w:t xml:space="preserve"> (fonctionnalité désactivée), </w:t>
      </w:r>
      <w:r>
        <w:rPr>
          <w:i/>
          <w:iCs/>
        </w:rPr>
        <w:t>différées</w:t>
      </w:r>
      <w:r>
        <w:rPr/>
        <w:t xml:space="preserve"> (interruption sans notification), ou </w:t>
      </w:r>
      <w:r>
        <w:rPr>
          <w:i/>
          <w:iCs/>
        </w:rPr>
        <w:t>stratégiques</w:t>
      </w:r>
      <w:r>
        <w:rPr/>
        <w:t xml:space="preserve"> (suppression temporaire d’un canal critique à l’approche d’un seuil). Elles n’empêchent pas l’ordre d’opérer, mais elles en reconfigurent les seuils d’accès, de bifurcation ou de modulation. Il ne s’agit donc pas de défauts ponctuels, mais de </w:t>
      </w:r>
      <w:r>
        <w:rPr>
          <w:i/>
          <w:iCs/>
        </w:rPr>
        <w:t>gestes cratiaux silencieux</w:t>
      </w:r>
      <w:r>
        <w:rPr/>
        <w:t>, structurants, parfois irréversibles.</w:t>
      </w:r>
    </w:p>
    <w:p>
      <w:pPr>
        <w:pStyle w:val="BodyText"/>
        <w:rPr/>
      </w:pPr>
      <w:r>
        <w:rPr/>
        <w:t>On peut résumer ainsi : une cratialité robuste encaisse, plie, module, bifurque, relance. Une cratialité fragile sature, bloque, s’enkyste, se dissocie. Une cratialité dégradée fonctionne sans agir, agit sans exposer, expose sans effet. Une cratialité critique, enfin, incorpore la friction sans s’effondrer — elle maintient une chaîne opératoire dans l’épreuve du réel, sans recourir à l’exception.</w:t>
      </w:r>
    </w:p>
    <w:p>
      <w:pPr>
        <w:pStyle w:val="BodyText"/>
        <w:rPr/>
      </w:pPr>
      <w:r>
        <w:rPr/>
        <w:t>La cratialité ne se confond ni avec la gouvernance, ni avec la technicité, ni avec la procédure. Elle désigne l’exercice effectif d’un ordre dans ses tensions propres : sa capacité à agir malgré l’interruption, à tenir malgré la friction. Ce n’est pas le règne de l’exécution parfaite, mais le champ toujours partiel, jamais neutre, d’une opérabilité exposée au réel. C’est là que se joue la condition critique de toute régulation habitable. </w:t>
      </w:r>
    </w:p>
    <w:p>
      <w:pPr>
        <w:pStyle w:val="Heading3"/>
        <w:numPr>
          <w:ilvl w:val="2"/>
          <w:numId w:val="2"/>
        </w:numPr>
        <w:rPr/>
      </w:pPr>
      <w:r>
        <w:rPr/>
        <w:t xml:space="preserve">1.7.3 — Les </w:t>
      </w:r>
      <w:r>
        <w:rPr>
          <w:i/>
          <w:iCs/>
        </w:rPr>
        <w:t>formes d’archicration</w:t>
      </w:r>
      <w:r>
        <w:rPr/>
        <w:t xml:space="preserve"> : scènes qui reçoivent, suspendent et révisent</w:t>
      </w:r>
    </w:p>
    <w:p>
      <w:pPr>
        <w:pStyle w:val="BodyText"/>
        <w:rPr/>
      </w:pPr>
      <w:r>
        <w:rPr/>
        <w:t>Tout régime régulateur, quelle que soit sa cohérence interne ou sa puissance opératoire, rencontre un seuil critique où la seule invocation du fondement ne suffit plus à convaincre, et où la pure efficacité de l’opération ne suffit plus à légitimer. Ce seuil, morphologiquement constitutif, ne marque ni la fin de la régulation ni son échec, mais une exigence : que l’ordre, pour demeurer habitable, s’ouvre à une adresse où ses effets peuvent être rapportés, ses motifs interrogés, ses seuils réévalués. C’est là qu’apparaît la nécessité du troisième pli, de la troisième forme, du troisième moment : l’</w:t>
      </w:r>
      <w:r>
        <w:rPr>
          <w:i/>
          <w:iCs/>
        </w:rPr>
        <w:t>archicration</w:t>
      </w:r>
      <w:r>
        <w:rPr/>
        <w:t>.</w:t>
      </w:r>
    </w:p>
    <w:p>
      <w:pPr>
        <w:pStyle w:val="BodyText"/>
        <w:rPr/>
      </w:pPr>
      <w:r>
        <w:rPr/>
        <w:t>Par ce terme, il ne faut entendre ni une forme de contestation extérieure, ni un supplément moral ou procédural, ni une simple logique de recours. L’archicration désigne la configuration dans laquelle une régulation devient, de façon située, différée et contextualisée, réinscriptible à partir de ses propres effets et de ses propres principes. Elle constitue non l’effondrement de l’ordre, mais l’exposition opératoire qui rend possible sa justification et sa reprise. Elle ne se substitue ni à l’</w:t>
      </w:r>
      <w:r>
        <w:rPr>
          <w:i/>
          <w:iCs/>
        </w:rPr>
        <w:t>arcalité</w:t>
      </w:r>
      <w:r>
        <w:rPr/>
        <w:t xml:space="preserve"> ni à la </w:t>
      </w:r>
      <w:r>
        <w:rPr>
          <w:i/>
          <w:iCs/>
        </w:rPr>
        <w:t>cratialité</w:t>
      </w:r>
      <w:r>
        <w:rPr/>
        <w:t>, mais les oblige à rendre raison de ce qu’elles ont produit, sans pour autant en dissoudre la structure.</w:t>
      </w:r>
    </w:p>
    <w:p>
      <w:pPr>
        <w:pStyle w:val="BodyText"/>
        <w:rPr/>
      </w:pPr>
      <w:r>
        <w:rPr/>
        <w:t xml:space="preserve">Une archicration n’est jamais un pur événement discursif : elle est une scène de régulation, c’est-à-dire un agencement où un effet peut être rapporté à un motif. Ce n’est pas l’expression d’un simple désaccord, ni la formalisation d’un désaveu ; c’est un </w:t>
      </w:r>
      <w:r>
        <w:rPr>
          <w:i/>
          <w:iCs/>
        </w:rPr>
        <w:t>moment structuré où l’ordre devient</w:t>
      </w:r>
      <w:r>
        <w:rPr/>
        <w:t xml:space="preserve">, même brièvement, </w:t>
      </w:r>
      <w:r>
        <w:rPr>
          <w:i/>
          <w:iCs/>
        </w:rPr>
        <w:t>redevable de ce qu’il produit</w:t>
      </w:r>
      <w:r>
        <w:rPr/>
        <w:t xml:space="preserve">. Une </w:t>
      </w:r>
      <w:r>
        <w:rPr>
          <w:i/>
          <w:iCs/>
        </w:rPr>
        <w:t>scène archicrative oblige à réentendre ce qui a été dit depuis ce qui a été fait</w:t>
      </w:r>
      <w:r>
        <w:rPr/>
        <w:t>. L’ordre y devient redevable non par obligation éthique, mais par contrainte morphologique : ce qu’il fait, il doit pouvoir l’assumer dans un espace d’interpellation recevable. C’est cette obligation de comparution située qui distingue la régulation vivante de la régulation inerte.</w:t>
      </w:r>
    </w:p>
    <w:p>
      <w:pPr>
        <w:pStyle w:val="BodyText"/>
        <w:rPr/>
      </w:pPr>
      <w:r>
        <w:rPr/>
        <w:t>Une telle scène ne vaut que si elle articule plusieurs conditions spécifiques, qui ne se résument pas à une posture d’écoute bienveillante ou à une structure formelle d’appel. Pour opérer, elle doit être traversable, suspensive, adressable, modifiable et mémorisable. Cinq fonctions solidaires, qu’on ne peut isoler sans vider la scène de sa portée critique.</w:t>
      </w:r>
    </w:p>
    <w:p>
      <w:pPr>
        <w:pStyle w:val="BodyText"/>
        <w:rPr/>
      </w:pPr>
      <w:r>
        <w:rPr/>
        <w:t>L’</w:t>
      </w:r>
      <w:r>
        <w:rPr>
          <w:i/>
          <w:iCs/>
        </w:rPr>
        <w:t>accès</w:t>
      </w:r>
      <w:r>
        <w:rPr/>
        <w:t>, d’abord, n’est pas simplement un droit formel. Il ne suffit pas que la scène existe dans les textes ou dans les intentions : encore faut-il qu’elle puisse être rejointe dans des conditions concrètes. Dans certains villages des hauts plateaux andins, une scène de justice communautaire ne devient accessible que si un ancien accepte d’introduire le plaignant dans la parole collective, lors d’un conseil rituel tenu à heure solaire fixe. L’accès dépend ici d’une médiation humaine, d’un protocole implicite, d’un ancrage territorial. En Europe, à une autre échelle, une réunion de copropriété ou une assemblée de colocataires constitue aussi une scène d’archicration ordinaire : mais encore faut-il que les convocations soient claires, que les horaires soient compatibles avec les temps de vie, que le langage employé ne disqualifie pas d’emblée ceux qui veulent s’exprimer. L’accès n’est jamais garanti par la seule existence de la scène : il se joue dans les seuils, les médiations, les rythmes.</w:t>
      </w:r>
    </w:p>
    <w:p>
      <w:pPr>
        <w:pStyle w:val="BodyText"/>
        <w:rPr/>
      </w:pPr>
      <w:r>
        <w:rPr/>
        <w:t xml:space="preserve">La </w:t>
      </w:r>
      <w:r>
        <w:rPr>
          <w:i/>
          <w:iCs/>
        </w:rPr>
        <w:t>suspension</w:t>
      </w:r>
      <w:r>
        <w:rPr/>
        <w:t>, ensuite, est ce qui garantit que l’exposition de l’ordre ne soit pas un leurre. Tant qu’un acte régulateur continue de produire ses effets pendant qu’on tente de le requalifier, il n’y a pas de scène — il y a simulacre. Dans certaines sociétés coutumières d’Afrique de l’Ouest, lorsqu’un conflit est porté devant le cercle de palabre, les activités concernées — culture d’une terre disputée, usage d’un chemin commun — sont suspendues jusqu’à résolution. De même, dans le monde contemporain, une audience prud’homale n’a de sens que si l’exécution d’un licenciement peut être gelée temporairement, le temps que les parties comparent leurs versions. Le différé n’est pas un retard : c’est un espace de décélération volontaire qui rend l’examen possible.</w:t>
      </w:r>
    </w:p>
    <w:p>
      <w:pPr>
        <w:pStyle w:val="BodyText"/>
        <w:rPr/>
      </w:pPr>
      <w:r>
        <w:rPr/>
        <w:t xml:space="preserve">La </w:t>
      </w:r>
      <w:r>
        <w:rPr>
          <w:i/>
          <w:iCs/>
        </w:rPr>
        <w:t>comparution</w:t>
      </w:r>
      <w:r>
        <w:rPr/>
        <w:t xml:space="preserve"> constitue le noyau actif de l’agencement. Elle ne vise pas à trancher un litige au sens judiciaire, mais à mettre en regard — dans un espace donné — des éléments auparavant dissociés : un motif initial, un effet produit, un sujet affecté, une opération appliquée, un traitement injuste. Dans certaines cérémonies de réparation au sein de communautés aborigènes, le coupable, les victimes, les témoins et les anciens se tiennent ensemble dans un cercle symbolique, et chacun expose ce qu’il a vu, vécu, compris : non pour que triomphe une version, mais pour que l’effet soit rendu visible. En Europe, la comparution prend parfois des formes plus informelles mais non moins fortes : un salarié convoqué à un entretien disciplinaire face à son supérieur peut y opposer non seulement des arguments, mais la narration de son vécu. L’enjeu n’est pas d’établir une vérité objective, mais de rendre commensurable, dans une structure partagée, ce que l’ordre fait et ce que le sujet vit. Comparaître, ici, c’est traduire — ce qui est souvent plus exigeant.</w:t>
      </w:r>
    </w:p>
    <w:p>
      <w:pPr>
        <w:pStyle w:val="BodyText"/>
        <w:rPr/>
      </w:pPr>
      <w:r>
        <w:rPr/>
        <w:t xml:space="preserve">La </w:t>
      </w:r>
      <w:r>
        <w:rPr>
          <w:i/>
          <w:iCs/>
        </w:rPr>
        <w:t>réversibilité</w:t>
      </w:r>
      <w:r>
        <w:rPr/>
        <w:t>, ensuite, signifie que le geste régulateur peut être reconfiguré à partir de ce qui a été entendu, sans renier pour autant le principe de régulation. Elle peut être implicite ou déclarée, formalisée ou improvisée. Dans certaines zones à défendre, lorsqu’une assemblée critique remet en question une décision prise en petit comité, une nouvelle délibération peut être ouverte, un protocole modifié, une règle suspendue temporairement. Rien n’y est définitif, mais tout peut être réinscrit. À l’autre extrémité, dans les institutions européennes de médiation administrative (comme le Médiateur de la République ou les Défenseurs des droits), des décisions peuvent être infléchies à partir de cas singuliers reconnus comme révélateurs de déséquilibres structurels. Cette plasticité critique ne déstabilise pas la régulation : elle l’empêche de se durcir en mécanisme tautologique. Sans elle, la scène ne serait qu’un couloir de plainte sans issue.</w:t>
      </w:r>
    </w:p>
    <w:p>
      <w:pPr>
        <w:pStyle w:val="BodyText"/>
        <w:rPr/>
      </w:pPr>
      <w:r>
        <w:rPr/>
        <w:t xml:space="preserve">La </w:t>
      </w:r>
      <w:r>
        <w:rPr>
          <w:i/>
          <w:iCs/>
        </w:rPr>
        <w:t>mémorisation</w:t>
      </w:r>
      <w:r>
        <w:rPr/>
        <w:t>, enfin, ne vise ni l’archive technique, ni le fichage bureaucratique, même si elle en produit parfois les signes. Elle constitue avant tout le socle critique à partir duquel les régulations futures deviennent informées par les scènes passées. Dans certaines sociétés insulaires du Pacifique, un conflit grave entre familles reste inscrit dans la mémoire collective à travers une chanson, une légende, un totem déplacé : la mémoire ne conserve pas la faute, mais la scène qui l’a rendue adressable. À l’opposé, dans les universités européennes, les comités de discipline ou les commissions d’éthique conservent des procès-verbaux — non pour punir deux fois, mais pour ajuster les régulations futures. Ce que la mémoire rend possible, ce n’est pas la traçabilité pure, mais l’accumulation de tensions significatives. Une régulation sans mémoire critique est une régulation condamnée à son propre oubli.</w:t>
      </w:r>
    </w:p>
    <w:p>
      <w:pPr>
        <w:pStyle w:val="BodyText"/>
        <w:rPr/>
      </w:pPr>
      <w:r>
        <w:rPr/>
        <w:t xml:space="preserve">Ces cinq fonctions, dès lors, ne peuvent être isolées sans être dénaturées. Un accès sans suspension ne protège pas. Une suspension sans comparution ne produit pas d’effet. Une comparution sans réversibilité déstabilise sans modifier. Une réversibilité sans mémoire corrige sans apprendre. Et une mémoire sans accès transforme la critique en spectre stérile. C’est leur articulation — située, réalisée, encadrée — qui donne lieu à une </w:t>
      </w:r>
      <w:r>
        <w:rPr>
          <w:i/>
          <w:iCs/>
        </w:rPr>
        <w:t>scène archicrative</w:t>
      </w:r>
      <w:r>
        <w:rPr/>
        <w:t xml:space="preserve"> proprement dite.</w:t>
      </w:r>
    </w:p>
    <w:p>
      <w:pPr>
        <w:pStyle w:val="BodyText"/>
        <w:rPr/>
      </w:pPr>
      <w:r>
        <w:rPr/>
        <w:t>Cette morphologie archicrative, nous l’avons dit, ne se laisse jamais réduire à la seule logique institutionnelle. La scène n’est pas l’apanage des structures formelles du droit ou des mécanismes administratifs. Elle peut surgir dans les interstices d’un collectif, dans le pli d’un rituel, dans l’épaisseur d’une adresse improvisée, dans la densité d’une discussion entre pairs. Ce qui fait scène, ce n’est ni le statut de l’arène ni le nom de l’institution : c’est la possibilité concrète pour une régulation de se rendre visible à partir de ce qu’elle a produit, pour un sujet d’y accéder, d’y parler, d’y être entendu, et pour l’ordre d’y être infléchi. La morphologie archicrative s’apparente à une grammaire topologique de la requalification, non à une typologie stricte des lieux.</w:t>
      </w:r>
    </w:p>
    <w:p>
      <w:pPr>
        <w:pStyle w:val="BodyText"/>
        <w:rPr/>
      </w:pPr>
      <w:r>
        <w:rPr/>
        <w:t xml:space="preserve">Ainsi, une commission de médiation, une plateforme d’objection publique, un cercle d’écoute informel dans un foyer d’accueil, une réunion de colocataires débattant d’un conflit latent, une restitution mémorielle dans une communauté autochtone, une lettre ouverte collective au sein d’un collectif militant ou encore un forum numérique de désaccords argumentés — tous ces espaces, hétérogènes dans leur forme, peuvent, pour peu qu’ils permettent la traversée des cinq fonctions critiques — </w:t>
      </w:r>
      <w:r>
        <w:rPr>
          <w:i/>
          <w:iCs/>
        </w:rPr>
        <w:t>accès, suspension, comparution, réversibilité, mémoire</w:t>
      </w:r>
      <w:r>
        <w:rPr/>
        <w:t xml:space="preserve"> — opérer comme scènes effectives d’archicration.</w:t>
      </w:r>
    </w:p>
    <w:p>
      <w:pPr>
        <w:pStyle w:val="BodyText"/>
        <w:rPr/>
      </w:pPr>
      <w:r>
        <w:rPr/>
        <w:t>Mais cette possibilité, toujours précaire, est sans cesse exposée à des dynamiques de neutralisation. L’histoire et le présent des régulations montrent combien la scène peut être mise en échec sans être supprimée, dévitalisée sans être abolie, réduite à l’apparence sans plus rien faire tenir. Ce sont ces formes dégradées ou détournées de l’archicration que nous devons maintenant affronter, non pour les cataloguer, mais pour en diagnostiquer les écarts morphologiques. Car ce n’est pas l’absence de scène qui est ici en cause, mais la perversion de sa forme, son épuisement par saturation, son retournement cynique ou sa dissolution dans le silence différé. Ce sont autant de figures, insidieuses ou frontales, de ce que nous appellerons désarchicration, un désamorçage de l’archicration.</w:t>
      </w:r>
    </w:p>
    <w:p>
      <w:pPr>
        <w:pStyle w:val="BodyText"/>
        <w:rPr/>
      </w:pPr>
      <w:r>
        <w:rPr/>
        <w:t xml:space="preserve">Il y a d’abord les </w:t>
      </w:r>
      <w:r>
        <w:rPr>
          <w:i/>
          <w:iCs/>
        </w:rPr>
        <w:t>scènes creuses</w:t>
      </w:r>
      <w:r>
        <w:rPr/>
        <w:t xml:space="preserve">, où tout semble en place — protocole, procédure, façade d’écoute — mais où rien de substantiel ne peut advenir. Le langage est permis, l’expression autorisée, l’interpellation recevable en droit, mais aucune transformation n’est rendu possible. Le sujet parle, mais l’effet régulateur continue sa course, indifférent à ce qui est dit. Ces scènes ne suspendent pas, ne comparent pas, ne mémorisent pas : elles simulent l’archicration. Elles produisent une figuration vidée d’enjeux, un artefact critique, un rituel sans puissance. Ainsi, dans certaines consultations publiques sur des projets d’infrastructure — lignes ferroviaires, plans d’urbanisme, équipements industriels — les citoyens sont invités à s’exprimer </w:t>
      </w:r>
      <w:r>
        <w:rPr>
          <w:i/>
          <w:iCs/>
        </w:rPr>
        <w:t>a posteriori</w:t>
      </w:r>
      <w:r>
        <w:rPr/>
        <w:t xml:space="preserve">, une fois les décisions actées. Le protocole d’écoute est là, mais la </w:t>
      </w:r>
      <w:r>
        <w:rPr>
          <w:i/>
          <w:iCs/>
        </w:rPr>
        <w:t>cratialité</w:t>
      </w:r>
      <w:r>
        <w:rPr/>
        <w:t xml:space="preserve"> est verrouillée en amont. L’</w:t>
      </w:r>
      <w:r>
        <w:rPr>
          <w:i/>
          <w:iCs/>
        </w:rPr>
        <w:t>archicration</w:t>
      </w:r>
      <w:r>
        <w:rPr/>
        <w:t xml:space="preserve"> s’engouffre et s’effondre dans son propre simulacre.</w:t>
      </w:r>
    </w:p>
    <w:p>
      <w:pPr>
        <w:pStyle w:val="BodyText"/>
        <w:rPr/>
      </w:pPr>
      <w:r>
        <w:rPr/>
        <w:t xml:space="preserve">Il y a ensuite les </w:t>
      </w:r>
      <w:r>
        <w:rPr>
          <w:i/>
          <w:iCs/>
        </w:rPr>
        <w:t>scènes retournées</w:t>
      </w:r>
      <w:r>
        <w:rPr/>
        <w:t>, plus pernicieuses encore. Celles-ci ne se contentent pas de neutraliser la critique, elles l’utilisent contre elle-même. Le pouvoir y laisse parler non pour entendre, mais pour disqualifier. Il accueille la plainte pour mieux la réduire à un excès, une irrationalité, une pathologie ou un bruit. C’est la forme cynique de la scène : elle se donne comme lieu d’exposition, mais renforce l’ordre qu’elle prétend mettre à l’épreuve. L’interpellation devient preuve de perturbation, la parole devient symptôme. Dans certaines entreprises, institutions éducatives ou organisations politiques, les dispositifs d’écoute post-crise transforment les plaintes en atteintes à l’image ou en preuves d’indiscipline. L’interlocution devient surveillance, la scène devient outil de consolidation du pouvoir.</w:t>
      </w:r>
    </w:p>
    <w:p>
      <w:pPr>
        <w:pStyle w:val="BodyText"/>
        <w:rPr/>
      </w:pPr>
      <w:r>
        <w:rPr/>
        <w:t xml:space="preserve">Autre figure : la </w:t>
      </w:r>
      <w:r>
        <w:rPr>
          <w:i/>
          <w:iCs/>
        </w:rPr>
        <w:t>scène saturée</w:t>
      </w:r>
      <w:r>
        <w:rPr/>
        <w:t>. Ici, le dysfonctionnement ne vient pas de l’absence, mais de l’excès non médié. Trop d’accès, pas de filtrage, pas de traduction. Trop de voix, pas d’écoute structurée. Trop d’injonctions, pas de temporalité. La scène devient invivable : le volume d’interpellation y déborde toute capacité de traitement, la comparution s’y dilue dans le chaos, la réversibilité devient illisible. Ce sont les grandes plateformes numériques d’évaluation, les forums de “libre expression”, ou encore certaines réunions communautaires où tout le monde parle sans qu’aucune écoute mutuelle ne tienne. La scène donne lieu au vacarme. Le seuil d’entrée s’avère ouvert, mais l’agencement archicratique se voit détruit. La critique y meurt de sa propre profusion non canalisée.</w:t>
      </w:r>
    </w:p>
    <w:p>
      <w:pPr>
        <w:pStyle w:val="BodyText"/>
        <w:rPr/>
      </w:pPr>
      <w:r>
        <w:rPr/>
        <w:t xml:space="preserve">Plus troublante encore est la </w:t>
      </w:r>
      <w:r>
        <w:rPr>
          <w:i/>
          <w:iCs/>
        </w:rPr>
        <w:t>scène spectrale</w:t>
      </w:r>
      <w:r>
        <w:rPr/>
        <w:t xml:space="preserve">. Là, il ne s’agit plus d’un simulacre d’écoute ni d’un excès d’expression mais d’un ajournement indéfini. Le sujet n’est pas exclu ; il demeure suspendu. On lui dit : “bientôt”, “encore un peu de patience”, “votre demande est en cours de traitement”. Mais celui-ci ne vient jamais. La scène est invoquée, toujours repoussée, jamais tenue. C’est le règne de la régulation par la latence, où le temps devient instrument d’usure et d’effacement sans brutalité. Dans les politiques d’asile, dans les systèmes de demande de logement, dans les chaînes d’approbation administratives, on trouve ce type de </w:t>
      </w:r>
      <w:r>
        <w:rPr>
          <w:i/>
          <w:iCs/>
        </w:rPr>
        <w:t>scènes spectrales</w:t>
      </w:r>
      <w:r>
        <w:rPr/>
        <w:t xml:space="preserve"> : le dossier est bien présent, mais ne trouve jamais place dans la scène. Ce qui est produit alors est une suspension sans mémoire, une attente à comparution différée jusqu’à l’inopérance, une adresse privée de réponse effectivement opposable. Le différé se mue dès lors en forme de pouvoir.</w:t>
      </w:r>
    </w:p>
    <w:p>
      <w:pPr>
        <w:pStyle w:val="BodyText"/>
        <w:rPr/>
      </w:pPr>
      <w:r>
        <w:rPr/>
        <w:t xml:space="preserve">Face à cela, il existe des régulations qui s’ajustent sans jamais organiser de nouvelles scènes. Ce sont les </w:t>
      </w:r>
      <w:r>
        <w:rPr>
          <w:i/>
          <w:iCs/>
        </w:rPr>
        <w:t>formes post-interpellatives</w:t>
      </w:r>
      <w:r>
        <w:rPr/>
        <w:t xml:space="preserve">. L’ordre y intègre la mémoire de scènes passées — plaintes, mobilisations, controverses — pour reconfigurer silencieusement ses opérations. On peut compter dans cette catégorie : un algorithme modifié sans annonce, un seuil déplacé sans justification, une interface ajustée après une vague de critiques. Il n’y a pas de comparution, mais une mémoire agissante. Ce n’est pas une archicration au sens strict, mais une archicratialisation par effet de sédimentation critique. Ce régime peut être fécond, mais aussi inquiétant, car il soustrait à la vue des concernés les litiges et les dérives établis : </w:t>
      </w:r>
      <w:r>
        <w:rPr>
          <w:i/>
          <w:iCs/>
        </w:rPr>
        <w:t>qui contrôle que l’ajustement a bien eu lieu ?, qui mémorise la scène absente ?, qui peut rejouer l’interpellation si elle reste sans forme ?</w:t>
      </w:r>
      <w:r>
        <w:rPr/>
        <w:t xml:space="preserve"> La critique y est intégrée, donne lieu à évolution d’arcalités et de cratialités, mais la polémique est désamorcée.</w:t>
      </w:r>
    </w:p>
    <w:p>
      <w:pPr>
        <w:pStyle w:val="BodyText"/>
        <w:rPr/>
      </w:pPr>
      <w:r>
        <w:rPr/>
        <w:t xml:space="preserve">Par </w:t>
      </w:r>
      <w:r>
        <w:rPr>
          <w:i/>
          <w:iCs/>
        </w:rPr>
        <w:t>archicratialisation</w:t>
      </w:r>
      <w:r>
        <w:rPr/>
        <w:t>, nous désignons ce régime post-interpellatif par lequel une régulation intègre la mémoire d’épreuves passées (plaintes, controverses, mobilisations) sans pour autant rouvrir de scène effective : les critiques sédimentent et se transmutent silencieusement en ajustements d’</w:t>
      </w:r>
      <w:r>
        <w:rPr>
          <w:i/>
          <w:iCs/>
        </w:rPr>
        <w:t>arcalité</w:t>
      </w:r>
      <w:r>
        <w:rPr/>
        <w:t xml:space="preserve"> (fondements, critères, axiomes) et de </w:t>
      </w:r>
      <w:r>
        <w:rPr>
          <w:i/>
          <w:iCs/>
        </w:rPr>
        <w:t>cratialité</w:t>
      </w:r>
      <w:r>
        <w:rPr/>
        <w:t xml:space="preserve"> (procédures, seuils, algorithmes, interfaces), sans comparution véritablement praticable, sans publicité opposable, sans délai contradictoire nouvellement institué et opérant. L’</w:t>
      </w:r>
      <w:r>
        <w:rPr>
          <w:i/>
          <w:iCs/>
        </w:rPr>
        <w:t>archicratialisation</w:t>
      </w:r>
      <w:r>
        <w:rPr/>
        <w:t xml:space="preserve"> n’est donc pas l’</w:t>
      </w:r>
      <w:r>
        <w:rPr>
          <w:i/>
          <w:iCs/>
        </w:rPr>
        <w:t>archicration</w:t>
      </w:r>
      <w:r>
        <w:rPr/>
        <w:t xml:space="preserve"> (qui expose et oppose), mais son après-coup opératoire : une auto-réforme qui peut corriger, parfois avec finesse, tout en déplaçant hors scène le litige qui l’a rendue nécessaire ; d’où son ambivalence. Elle peut être féconde si elle demeure traçable et ré-ouvrable, mais devient inquiétante si elle neutralise la polémique en retirant aux concernés la possibilité d’une réinterpellation opposable.</w:t>
      </w:r>
    </w:p>
    <w:p>
      <w:pPr>
        <w:pStyle w:val="BodyText"/>
        <w:rPr/>
      </w:pPr>
      <w:r>
        <w:rPr/>
        <w:t xml:space="preserve">Enfin, il existe ce que nous nommons les </w:t>
      </w:r>
      <w:r>
        <w:rPr>
          <w:i/>
          <w:iCs/>
        </w:rPr>
        <w:t>contre-scènes auto-organisées</w:t>
      </w:r>
      <w:r>
        <w:rPr/>
        <w:t xml:space="preserve">, ou </w:t>
      </w:r>
      <w:r>
        <w:rPr>
          <w:i/>
          <w:iCs/>
        </w:rPr>
        <w:t>pré-archicrations</w:t>
      </w:r>
      <w:r>
        <w:rPr/>
        <w:t>. Là, ce n’est plus l’ordre institué qui ouvre une scène, mais les sujets eux-mêmes qui la fabriquent, à même leurs expériences. Ce sont des collectifs d’écoute mutuelle, des cercles d’entraide communautaire, des réunions de colocataires qui instituent des modalités de parole, de suspension, de reconnaissance, de réparation. Ces scènes ne contestent pas toujours l’ordre en bloc : elles déploient un à-côté, un écart, une grammaire marginale de la régulation. Elles tissent leurs propres conditions de comparution, de mémoire, de reprise — et parfois, dans un second temps, elles viennent frapper à la porte de l’institution pour l’obliger à s’ajuster.</w:t>
      </w:r>
    </w:p>
    <w:p>
      <w:pPr>
        <w:pStyle w:val="BodyText"/>
        <w:rPr/>
      </w:pPr>
      <w:r>
        <w:rPr/>
        <w:t>Ce sont ces formes, dans leur diversité, leur fragilité, leur puissance critique, que le paradigme archicratique permet de rendre lisibles. Non pour les classer selon une échelle de valeur, mais pour en diagnostiquer les agencements différés, les écarts morphologiques et les potentiels de reprise. Car ce n’est jamais la forme qui garantit la fonction. Une salle d’audience peut être cynique ; une cuisine partagée peut être une scène ; un formulaire numérique peut être une clôture ; une lettre manuscrite peut ouvrir une mémoire.</w:t>
      </w:r>
    </w:p>
    <w:p>
      <w:pPr>
        <w:pStyle w:val="BodyText"/>
        <w:rPr/>
      </w:pPr>
      <w:r>
        <w:rPr/>
        <w:t>Loin d’être anecdotiques, ces morphologies périphériques sont cruciales pour comprendre l’</w:t>
      </w:r>
      <w:r>
        <w:rPr>
          <w:i/>
          <w:iCs/>
        </w:rPr>
        <w:t>archicration</w:t>
      </w:r>
      <w:r>
        <w:rPr/>
        <w:t xml:space="preserve">. Elles montrent qu’il s’agit d’un champ dynamique où se croisent scènes instituées, scènes dégradées, scènes ajournées, scènes latérales et scènes instituantes. Elles révèlent aussi la plasticité historique des </w:t>
      </w:r>
      <w:r>
        <w:rPr>
          <w:i/>
          <w:iCs/>
        </w:rPr>
        <w:t>formes archicratiques</w:t>
      </w:r>
      <w:r>
        <w:rPr/>
        <w:t xml:space="preserve"> : ce qui, hier, relevait d’un tribunal peut aujourd’hui se déployer dans une interface ; ce qui, hier, était confiné dans un rituel peut se manifester dans un forum numérique ; ce qui, hier, était réservé à l’État peut être organisé par des communautés elles-mêmes.</w:t>
      </w:r>
    </w:p>
    <w:p>
      <w:pPr>
        <w:pStyle w:val="BodyText"/>
        <w:rPr/>
      </w:pPr>
      <w:r>
        <w:rPr/>
        <w:t xml:space="preserve">Pour comprendre cette diversité, il faut revenir à la morphologie critique de la scène : </w:t>
      </w:r>
      <w:r>
        <w:rPr>
          <w:i/>
          <w:iCs/>
        </w:rPr>
        <w:t>quelles fonctions tiennent ensemble ? quelles fonctions se disloquent ? quelles fonctions se déplacent ailleurs ?</w:t>
      </w:r>
      <w:r>
        <w:rPr/>
        <w:t xml:space="preserve"> C’est en répondant à ces questions qu’on peut situer chaque configuration, et non en présumant d’avance sa valeur parce qu’elle serait « officielle » ou « informelle ». Une </w:t>
      </w:r>
      <w:r>
        <w:rPr>
          <w:i/>
          <w:iCs/>
        </w:rPr>
        <w:t>archicration</w:t>
      </w:r>
      <w:r>
        <w:rPr/>
        <w:t xml:space="preserve"> peut être modeste, mais bien réelle ; une instance solennelle peut être spectaculaire tout en restant parfaitement creuse. L’analyse morphologique permet d’éviter l’illusion de l’échelle et du prestige institutionnel : ce qui compte, avant tout, c’est la </w:t>
      </w:r>
      <w:r>
        <w:rPr>
          <w:i/>
          <w:iCs/>
        </w:rPr>
        <w:t>consistance opératoire</w:t>
      </w:r>
      <w:r>
        <w:rPr/>
        <w:t>.</w:t>
      </w:r>
    </w:p>
    <w:p>
      <w:pPr>
        <w:pStyle w:val="BodyText"/>
        <w:rPr/>
      </w:pPr>
      <w:r>
        <w:rPr/>
        <w:t>Ce déplacement du regard permet aussi de comprendre que l’</w:t>
      </w:r>
      <w:r>
        <w:rPr>
          <w:i/>
          <w:iCs/>
        </w:rPr>
        <w:t>archicration</w:t>
      </w:r>
      <w:r>
        <w:rPr/>
        <w:t xml:space="preserve"> ne se limite pas à corriger des opérations individuelles. Elle peut devenir une force de transformation progressive du régime lui-même, non par décret, mais par mémoire cumulative et ajustement continu. Une scène de recours répétée, même modeste, peut finir par transformer un script ; une contre-scène latérale (</w:t>
      </w:r>
      <w:r>
        <w:rPr>
          <w:i/>
          <w:iCs/>
        </w:rPr>
        <w:t>pré-archicrative</w:t>
      </w:r>
      <w:r>
        <w:rPr/>
        <w:t xml:space="preserve">) peut, en se stabilisant, obliger l’institution à ouvrir un canal officiel ; une </w:t>
      </w:r>
      <w:r>
        <w:rPr>
          <w:i/>
          <w:iCs/>
        </w:rPr>
        <w:t>archicration</w:t>
      </w:r>
      <w:r>
        <w:rPr/>
        <w:t xml:space="preserve"> </w:t>
      </w:r>
      <w:r>
        <w:rPr>
          <w:i/>
          <w:iCs/>
        </w:rPr>
        <w:t>spectrale</w:t>
      </w:r>
      <w:r>
        <w:rPr/>
        <w:t xml:space="preserve"> peut, sous la pression, se muer en scène effective. L’</w:t>
      </w:r>
      <w:r>
        <w:rPr>
          <w:i/>
          <w:iCs/>
        </w:rPr>
        <w:t>archicration</w:t>
      </w:r>
      <w:r>
        <w:rPr/>
        <w:t xml:space="preserve"> est ainsi un processus polymorphe aux multiples lieux, elle est la modalité par laquelle l’ordre apprend — ou n’apprend pas — de ce qu’il fait.</w:t>
      </w:r>
    </w:p>
    <w:p>
      <w:pPr>
        <w:pStyle w:val="BodyText"/>
        <w:rPr/>
      </w:pPr>
      <w:r>
        <w:rPr/>
        <w:t>Dans ce sens, on peut comprendre qu’elle soit le troisième pôle du paradigme archicratique : elle ne vient ni avant ni après, elle suture le fondement à l’opération en les exposant à l’épreuve de leurs effets. Là où l’</w:t>
      </w:r>
      <w:r>
        <w:rPr>
          <w:i/>
          <w:iCs/>
        </w:rPr>
        <w:t>arcalité</w:t>
      </w:r>
      <w:r>
        <w:rPr/>
        <w:t xml:space="preserve"> institue un ordre, là où la </w:t>
      </w:r>
      <w:r>
        <w:rPr>
          <w:i/>
          <w:iCs/>
        </w:rPr>
        <w:t>cratialité</w:t>
      </w:r>
      <w:r>
        <w:rPr/>
        <w:t xml:space="preserve"> l’exécute, l’</w:t>
      </w:r>
      <w:r>
        <w:rPr>
          <w:i/>
          <w:iCs/>
        </w:rPr>
        <w:t>archicration</w:t>
      </w:r>
      <w:r>
        <w:rPr/>
        <w:t xml:space="preserve"> oblige à réentendre ce qui a été produit et à en tirer mémoire et ajustement. Sans ce pli critique, l’ordre devient bloc. Avec lui, l’ordre devient structure vivante, susceptible d’apprentissage et d’évolution.</w:t>
      </w:r>
    </w:p>
    <w:p>
      <w:pPr>
        <w:pStyle w:val="BodyText"/>
        <w:rPr/>
      </w:pPr>
      <w:r>
        <w:rPr/>
        <w:t>Car ce que révèle l’</w:t>
      </w:r>
      <w:r>
        <w:rPr>
          <w:i/>
          <w:iCs/>
        </w:rPr>
        <w:t>archicration</w:t>
      </w:r>
      <w:r>
        <w:rPr/>
        <w:t xml:space="preserve">, au-delà de son efficacité locale, c’est sa capacité à faire muter la régulation elle-même. Non pas en l’abattant, ni en la contournant, mais en la forçant à se redire à partir de ce qu’elle affecte. Chaque </w:t>
      </w:r>
      <w:r>
        <w:rPr>
          <w:i/>
          <w:iCs/>
        </w:rPr>
        <w:t>scène archicrative</w:t>
      </w:r>
      <w:r>
        <w:rPr/>
        <w:t xml:space="preserve"> bien tenue est un site de recomposition des régimes régulateurs. Elle agit comme opérateur de transformation différentielle : ce qui y est produit n’est ni un retour en arrière, ni une purge symbolique, mais un nouveau seuil de configuration du pouvoir régulateur, où le geste normatif ne peut plus se répéter à l’identique.</w:t>
      </w:r>
    </w:p>
    <w:p>
      <w:pPr>
        <w:pStyle w:val="BodyText"/>
        <w:rPr/>
      </w:pPr>
      <w:r>
        <w:rPr/>
        <w:t>Ce potentiel transformatif est manifeste dans les grandes reconfigurations historiques. L’invention des formes juridictionnelles modernes — celles qui instituent l’audience contradictoire, la suspension des effets, la production publique de motifs et la mémoire de la décision — ne résulte pas d’une décision rationnelle abstraite, mais de l’accumulation de tensions, de scènes conflictuelles, de demandes de comparution, qui ont obligé les régimes de justice à se reconfigurer depuis les points de friction entre l’ordre et ses effets.</w:t>
      </w:r>
    </w:p>
    <w:p>
      <w:pPr>
        <w:pStyle w:val="BodyText"/>
        <w:rPr/>
      </w:pPr>
      <w:r>
        <w:rPr/>
        <w:t>La même logique vaut pour l’émergence des droits sociaux : c’est parce que de multiples scènes, locales, informelles ou institutionnalisées, ont porté sur la scène publique les effets inacceptables de certaines régulations économiques ou sociétales que des inflexions, puis des basculements d’</w:t>
      </w:r>
      <w:r>
        <w:rPr>
          <w:i/>
          <w:iCs/>
        </w:rPr>
        <w:t>arcalité</w:t>
      </w:r>
      <w:r>
        <w:rPr/>
        <w:t xml:space="preserve"> ont été rendus pensables — jusqu’à produire, dans certains contextes, une refondation normative, voire — même si plus exceptionnelle — une assemblée constituante.</w:t>
      </w:r>
    </w:p>
    <w:p>
      <w:pPr>
        <w:pStyle w:val="BodyText"/>
        <w:rPr/>
      </w:pPr>
      <w:r>
        <w:rPr/>
        <w:t>À l’époque contemporaine, le régime numérique constitue un nouveau défi pour l’</w:t>
      </w:r>
      <w:r>
        <w:rPr>
          <w:i/>
          <w:iCs/>
        </w:rPr>
        <w:t>archicratie</w:t>
      </w:r>
      <w:r>
        <w:rPr/>
        <w:t xml:space="preserve">. L’automatisation massive des </w:t>
      </w:r>
      <w:r>
        <w:rPr>
          <w:i/>
          <w:iCs/>
        </w:rPr>
        <w:t>chaînes cratiales</w:t>
      </w:r>
      <w:r>
        <w:rPr/>
        <w:t xml:space="preserve">, la désintermédiation des processus décisionnels, l’interopérabilité de bases de données, la fluidification continue des effets régulateurs tendent à effacer les conditions morphologiques de la </w:t>
      </w:r>
      <w:r>
        <w:rPr>
          <w:i/>
          <w:iCs/>
        </w:rPr>
        <w:t>scène archicrative</w:t>
      </w:r>
      <w:r>
        <w:rPr/>
        <w:t>. L’on peut être affecté par un algorithme de sélection, un déclenchement automatisé de droit ou une suspension de service sans jamais savoir où formuler une objection, à qui l’adresser, ni selon quel protocole la voir entendue. Ce ne sont pas uniquement l’</w:t>
      </w:r>
      <w:r>
        <w:rPr>
          <w:i/>
          <w:iCs/>
        </w:rPr>
        <w:t>arcalité</w:t>
      </w:r>
      <w:r>
        <w:rPr/>
        <w:t xml:space="preserve"> et la </w:t>
      </w:r>
      <w:r>
        <w:rPr>
          <w:i/>
          <w:iCs/>
        </w:rPr>
        <w:t>cratialité</w:t>
      </w:r>
      <w:r>
        <w:rPr/>
        <w:t xml:space="preserve"> qui deviennent opaques, c’est l’</w:t>
      </w:r>
      <w:r>
        <w:rPr>
          <w:i/>
          <w:iCs/>
        </w:rPr>
        <w:t>archicration</w:t>
      </w:r>
      <w:r>
        <w:rPr/>
        <w:t xml:space="preserve"> elle-même qui devient impensable faute de zone d’ombres dans la complexité : aucune scène ne s’ouvre, aucun délai ne suspend, aucune trace ne subsiste. Ce que l’on appelle parfois « </w:t>
      </w:r>
      <w:r>
        <w:rPr>
          <w:i/>
          <w:iCs/>
        </w:rPr>
        <w:t>gouvernance algorithmique </w:t>
      </w:r>
      <w:r>
        <w:rPr/>
        <w:t>» peut ainsi masquer un effacement généralisé de la capacité critique adressable. L’ordre agit sans se laisser interpeller, ou tout au mieux à la marge.</w:t>
      </w:r>
    </w:p>
    <w:p>
      <w:pPr>
        <w:pStyle w:val="BodyText"/>
        <w:rPr/>
      </w:pPr>
      <w:r>
        <w:rPr/>
        <w:t>Mais ce même régime engendre ses contre-mouvements. À mesure que les scènes se referment, de nouvelles formes d’</w:t>
      </w:r>
      <w:r>
        <w:rPr>
          <w:i/>
          <w:iCs/>
        </w:rPr>
        <w:t>archicration</w:t>
      </w:r>
      <w:r>
        <w:rPr/>
        <w:t xml:space="preserve"> émergent dans les intersections et les interstices : collectifs de lutte contre les injustices algorithmiques, plateformes de transparence participative, dispositifs d’audit civique, espaces de révision décentralisée des classements ou des seuils. Ces configurations, encore fragiles, montrent que la </w:t>
      </w:r>
      <w:r>
        <w:rPr>
          <w:i/>
          <w:iCs/>
        </w:rPr>
        <w:t>tension archicrative</w:t>
      </w:r>
      <w:r>
        <w:rPr/>
        <w:t xml:space="preserve"> n’est pas réductible à une forme canonique : elle réinvente sans cesse ses conditions, ses modalités, ses agencements. Dans certains cas, c’est une nouvelle </w:t>
      </w:r>
      <w:r>
        <w:rPr>
          <w:i/>
          <w:iCs/>
        </w:rPr>
        <w:t>arcalité</w:t>
      </w:r>
      <w:r>
        <w:rPr/>
        <w:t xml:space="preserve"> qui surgit depuis la scène : le droit à l’explicitation algorithmique, la reconnaissance du préjudice systémique, l’obligation de justification des décisions automatisées. Dans d’autres cas, c’est la </w:t>
      </w:r>
      <w:r>
        <w:rPr>
          <w:i/>
          <w:iCs/>
        </w:rPr>
        <w:t>cratialité</w:t>
      </w:r>
      <w:r>
        <w:rPr/>
        <w:t xml:space="preserve"> qui se trouve reprogrammée : délai intégré, canal de recours incorporé, scénarisation de la transparence. La scène, ici, n’est plus une réponse — elle se découvre moteur d’innovation régulatrice.</w:t>
      </w:r>
    </w:p>
    <w:p>
      <w:pPr>
        <w:pStyle w:val="BodyText"/>
        <w:rPr/>
      </w:pPr>
      <w:r>
        <w:rPr/>
        <w:t>Cette dynamique, loin d’être contingente, constitue la structure évolutive du paradigme archicratique. Car celui-ci ne repose ni sur un fondement immobile, ni sur une opération figée, mais sur une capacité intrinsèque à se réformer depuis ce qu’il a produit. L’archicration est le principe morphogénétique par lequel les régulations changent, s’ajustent et se recomposent. Elle ne suspend pas la régulation : elle la réoriente depuis ses propres contradictions. Elle oblige la régulation à reprendre forme depuis l’expérience située</w:t>
      </w:r>
    </w:p>
    <w:p>
      <w:pPr>
        <w:pStyle w:val="BodyText"/>
        <w:rPr/>
      </w:pPr>
      <w:r>
        <w:rPr/>
        <w:t xml:space="preserve">Dès lors, on ne peut pas la traiter comme un supplément institutionnel, un adjuvant procédural ou un surplus de vigilance démocratique. Elle est ce sans quoi il n’y a pas de régulation viable dans la durée, c’est-à-dire, capable de se maintenir dans le temps non par inertie, mais par capacité interne de reconfiguration à partir de ses propres tensions évolutives. Un régime qui ne tolère aucune </w:t>
      </w:r>
      <w:r>
        <w:rPr>
          <w:i/>
          <w:iCs/>
        </w:rPr>
        <w:t>scène d’archicration</w:t>
      </w:r>
      <w:r>
        <w:rPr/>
        <w:t xml:space="preserve"> se condamne à l’opacité ou à la rupture. Un régime qui les tolère sans les articuler se condamne à l’usure ou à l’impuissance. Un régime qui les fabrique, les soutient et les transforme peut </w:t>
      </w:r>
      <w:r>
        <w:rPr>
          <w:i/>
          <w:iCs/>
        </w:rPr>
        <w:t>a contrario</w:t>
      </w:r>
      <w:r>
        <w:rPr/>
        <w:t xml:space="preserve"> tenir dans le temps, non pas malgré ses tensions, mais à travers elles.</w:t>
      </w:r>
    </w:p>
    <w:p>
      <w:pPr>
        <w:pStyle w:val="BodyText"/>
        <w:rPr/>
      </w:pPr>
      <w:r>
        <w:rPr/>
        <w:t xml:space="preserve">C’est à cette condition qu’il devient possible de comprendre autrement l’histoire des régimes régulateurs : non comme succession de modèles de pouvoir, mais comme variation des </w:t>
      </w:r>
      <w:r>
        <w:rPr>
          <w:i/>
          <w:iCs/>
        </w:rPr>
        <w:t>formes d’archicration</w:t>
      </w:r>
      <w:r>
        <w:rPr/>
        <w:t xml:space="preserve"> rendues possibles, empêchées, dégradées, refondées ou rénovées. C’est dans cette perspective que s’ouvrent les chapitres suivants. Ils retraceront comment, depuis les premières co-viabilités instituées jusqu’aux dispositifs techno-algorithmiques contemporains, les formes d’</w:t>
      </w:r>
      <w:r>
        <w:rPr>
          <w:i/>
          <w:iCs/>
        </w:rPr>
        <w:t>archicration</w:t>
      </w:r>
      <w:r>
        <w:rPr/>
        <w:t xml:space="preserve"> ont déterminé — autant que les normes et les opérations — les trajectoires, les mutations et les tensions des régulations historiques.</w:t>
      </w:r>
    </w:p>
    <w:p>
      <w:pPr>
        <w:pStyle w:val="BodyText"/>
        <w:rPr/>
      </w:pPr>
      <w:r>
        <w:rPr/>
        <w:t>Elle est ce qui empêche l’ordre de se refermer dans la tautologie de ses propres justifications. Elle garantit qu’un effet puisse encore produire un retour, qu’une norme puisse être reprise depuis celles et ceux qu’elle a affectés. Non comme ornement tardif, mais comme seuil de reformulation : la forme même par laquelle le pouvoir se rend à nouveau adressable. Elle n’est pas un luxe ; elle est indispensable pour rendre possible l’habitation critique d’un monde commun.</w:t>
      </w:r>
    </w:p>
    <w:p>
      <w:pPr>
        <w:pStyle w:val="Heading2"/>
        <w:numPr>
          <w:ilvl w:val="1"/>
          <w:numId w:val="2"/>
        </w:numPr>
        <w:rPr/>
      </w:pPr>
      <w:r>
        <w:rPr>
          <w:b/>
          <w:bCs/>
        </w:rPr>
        <w:t>Conclusion du chapitre 1 — La théorie archicratique : régulation politique, plasticité critique et scène de requalification</w:t>
      </w:r>
    </w:p>
    <w:p>
      <w:pPr>
        <w:pStyle w:val="BodyText"/>
        <w:rPr/>
      </w:pPr>
      <w:r>
        <w:rPr/>
        <w:t>Cette conclusion ne referme pas une doctrine ; elle resserre les conditions sous lesquelles le paradigme archicratique peut valoir comme cadre d’intelligibilité critique du politique. Il ne s’ajoute ni comme typologie supplémentaire, ni comme méthode normative de classement des régimes ; il propose un outillage morphologique pour rendre lisibles les formes concrètes de la régulation dans l’articulation située de l’arcalité, de la cratialité et de l’archicration.</w:t>
      </w:r>
    </w:p>
    <w:p>
      <w:pPr>
        <w:pStyle w:val="BodyText"/>
        <w:rPr/>
      </w:pPr>
      <w:r>
        <w:rPr/>
        <w:t>Il importe toutefois d’en préciser le statut exact. Le paradigme archicratique n’est ni purement descriptif, au sens où il se bornerait à enregistrer des formes données de régulation, ni directement normatif, au sens où il proposerait un modèle substantiel du bon ordre politique. Son régime propre est critique-structural. Il est descriptif lorsqu’il reconstruit les modes d’articulation entre fondement, opération et épreuve ; critique lorsqu’il met au jour leurs désajustements, leurs captures ou leurs formes d’oblitération ; normatif enfin, mais au sens minimal seulement, lorsqu’il rapporte ces configurations à une exigence de co-viabilité entendue non comme idéal de réconciliation, mais comme seuil d’habitabilité des régulations pour celles et ceux qu’elles affectent.</w:t>
      </w:r>
    </w:p>
    <w:p>
      <w:pPr>
        <w:pStyle w:val="BodyText"/>
        <w:rPr/>
      </w:pPr>
      <w:r>
        <w:rPr/>
        <w:t>Cette normativité minimale n’ajoute pas un principe moral extérieur aux phénomènes étudiés ; elle explicite la condition même sous laquelle une régulation peut être dite politiquement tenable sans reconduire, sous couvert de gestion, des asymétries soustraites à toute reprise.</w:t>
      </w:r>
    </w:p>
    <w:p>
      <w:pPr>
        <w:pStyle w:val="BodyText"/>
        <w:rPr/>
      </w:pPr>
      <w:r>
        <w:rPr/>
        <w:t>Le paradigme archicratique n’impose pas une grille préexistante à des réalités déjà constituées ; il permet d’analyser, depuis leurs tensions propres, les manières dont ces réalités se composent, se désarticulent, se reconfigurent. En ce sens, il relève d’une dynamique transductive, au sens où chaque régulation est saisie non comme un objet figé, mais comme une configuration en devenir, traversée de forces, de seuils, de mémoires et de requalifications. La transduction, ici, ne désigne pas un raisonnement par analogie (au sens psychologique), mais un processus d’individuation progressive, au contact des tensions internes d’un système.</w:t>
      </w:r>
    </w:p>
    <w:p>
      <w:pPr>
        <w:pStyle w:val="BodyText"/>
        <w:rPr/>
      </w:pPr>
      <w:r>
        <w:rPr/>
        <w:t>Ainsi, lorsque notre modèle est appliqué à un rituel de justice réparatrice, à une procédure administrative, à un dispositif numérique ou à une organisation communautaire, il met en lumière les prises effectives qui structurent la régulation. Là où l’</w:t>
      </w:r>
      <w:r>
        <w:rPr>
          <w:i/>
          <w:iCs/>
        </w:rPr>
        <w:t>arcalité</w:t>
      </w:r>
      <w:r>
        <w:rPr/>
        <w:t xml:space="preserve"> échappe, il identifie l’absence de mémoire opposable ; là où la </w:t>
      </w:r>
      <w:r>
        <w:rPr>
          <w:i/>
          <w:iCs/>
        </w:rPr>
        <w:t>cratialité</w:t>
      </w:r>
      <w:r>
        <w:rPr/>
        <w:t xml:space="preserve"> se ferme, il détecte la saturation opératoire ; là où l’</w:t>
      </w:r>
      <w:r>
        <w:rPr>
          <w:i/>
          <w:iCs/>
        </w:rPr>
        <w:t>archicration</w:t>
      </w:r>
      <w:r>
        <w:rPr/>
        <w:t xml:space="preserve"> fait défaut, il rend visible la clôture de l’adresse ou l’impossibilité de comparution. Ce qu’il révèle, ce ne sont pas des fautes de conformité à une norme idéale, mais des déséquilibres morphologiques qui affectent la viabilité du régime.</w:t>
      </w:r>
    </w:p>
    <w:p>
      <w:pPr>
        <w:pStyle w:val="BodyText"/>
        <w:rPr/>
      </w:pPr>
      <w:r>
        <w:rPr/>
        <w:t xml:space="preserve">Cette posture d’analyse n’a rien de relativiste. Elle repose au contraire sur une discipline critique rigoureuse, structurée par des critères de différenciation et de lisibilité : </w:t>
      </w:r>
      <w:r>
        <w:rPr>
          <w:i/>
          <w:iCs/>
        </w:rPr>
        <w:t>peut-on identifier un fondement adressable ? une opération attribuable ? une scène praticable ? Peut-on situer les principes, les actions, les effets, les affects, les seuils, les temporalités, les réversibilités ?</w:t>
      </w:r>
      <w:r>
        <w:rPr/>
        <w:t xml:space="preserve"> Ce sont ces questions qui permettent de situer un régime dans sa dynamique propre, sans le réduire à une étiquette politique figée, ni l’absorber dans un jugement moral sommaire.</w:t>
      </w:r>
    </w:p>
    <w:p>
      <w:pPr>
        <w:pStyle w:val="BodyText"/>
        <w:rPr/>
      </w:pPr>
      <w:r>
        <w:rPr/>
        <w:t>Autrement dit, l’</w:t>
      </w:r>
      <w:r>
        <w:rPr>
          <w:i/>
          <w:iCs/>
        </w:rPr>
        <w:t>archicratie</w:t>
      </w:r>
      <w:r>
        <w:rPr/>
        <w:t xml:space="preserve"> n’est pas une épistémologie totalisante, mais une opération topologique et morphogénétique : elle donne forme intelligible et située à ce qui, dans les régimes, restait occulté bien qu’étant agissant. Elle ne se contente pas de cartographier les régimes régulateurs : elle génère leur lisibilité, et donc leur contestation possible, en produisant un espace où les tensions peuvent être exposées, disputées et requalifiées. Ce qui la distingue alors d’une simple théorie descriptive ou normative, c’est son caractère constituant d’une scène d’analyse, d’un espace épistémique de reformulation. Elle est en ce sens une </w:t>
      </w:r>
      <w:r>
        <w:rPr>
          <w:i/>
          <w:iCs/>
        </w:rPr>
        <w:t>archicration</w:t>
      </w:r>
      <w:r>
        <w:rPr/>
        <w:t xml:space="preserve"> de la régulation elle-même, autant qu’un paradigme de la régulation politique.</w:t>
      </w:r>
    </w:p>
    <w:p>
      <w:pPr>
        <w:pStyle w:val="BodyText"/>
        <w:rPr/>
      </w:pPr>
      <w:r>
        <w:rPr/>
        <w:t xml:space="preserve">Ce que permet cette intelligibilité transductive ne se réduit pas à la distinction entre des types de régimes ou au classement des formes de pouvoir. Elle introduit, au cœur même du concept de régulation, une capacité à se confronter à ses effets, à en évaluer les bienfaits et les méfaits, mais aussi à leurs conséquences, à se reconfigurer depuis ses points de tension et à tenir dans le temps à travers l’épreuve de ce qu’elle transforme. Ce que la pensée archicratique permet de saisir, c’est que toute régulation, pour être effectivement durable, doit être co-viable : c’est-à-dire, capable d’articuler son effectivité avec la possibilité d’être reprise, entendue, adressée et, </w:t>
      </w:r>
      <w:r>
        <w:rPr>
          <w:i/>
          <w:iCs/>
        </w:rPr>
        <w:t>in fine</w:t>
      </w:r>
      <w:r>
        <w:rPr/>
        <w:t>, transformée. Il n’y a pas d’ordre stable qui ne soit en même temps susceptible d’exposition — et potentiellement rectifiable — à partir de ses effets vécus.</w:t>
      </w:r>
    </w:p>
    <w:p>
      <w:pPr>
        <w:pStyle w:val="BodyText"/>
        <w:rPr/>
      </w:pPr>
      <w:r>
        <w:rPr/>
        <w:t xml:space="preserve">Cette capacité de </w:t>
      </w:r>
      <w:r>
        <w:rPr>
          <w:i/>
          <w:iCs/>
        </w:rPr>
        <w:t>co-viabilité</w:t>
      </w:r>
      <w:r>
        <w:rPr/>
        <w:t xml:space="preserve"> n’est ni une lubie démocratique, ni un supplément moral, ni un geste de bonne gouvernance. C’est une structure minimale d’habitabilité politique, que le paradigme archicratique identifie non comme une valeur, mais comme une condition morphologique fondamentale. Là où les paradigmes classiques du politique postulent une autorité souveraine, un contrat fondateur, une hiérarchie des normes ou une séparation des pouvoirs, le paradigme archicratique propose une topologie de la régulation située, structurée par ses prises différentielles, ses seuils critiques et ses scènes de reconfiguration qui permettent la viabilité. Il ne demande pas : « </w:t>
      </w:r>
      <w:r>
        <w:rPr>
          <w:i/>
          <w:iCs/>
        </w:rPr>
        <w:t>qui décide ?</w:t>
      </w:r>
      <w:r>
        <w:rPr/>
        <w:t> » ou « </w:t>
      </w:r>
      <w:r>
        <w:rPr>
          <w:i/>
          <w:iCs/>
        </w:rPr>
        <w:t>quelle est la loi ?</w:t>
      </w:r>
      <w:r>
        <w:rPr/>
        <w:t> », mais : « </w:t>
      </w:r>
      <w:r>
        <w:rPr>
          <w:i/>
          <w:iCs/>
        </w:rPr>
        <w:t>comment tient cette régulation dans le temps, sous l’épreuve de ses propres effets ?</w:t>
      </w:r>
      <w:r>
        <w:rPr/>
        <w:t> ».</w:t>
      </w:r>
    </w:p>
    <w:p>
      <w:pPr>
        <w:pStyle w:val="BodyText"/>
        <w:rPr/>
      </w:pPr>
      <w:r>
        <w:rPr/>
        <w:t>Ce déplacement est crucial. Il permet de détacher l’analyse des régimes politiques de la seule question du fondement — souverain, populaire, contractuel, divin ou technique — pour la rapporter à celle de leur régulation et de leur plasticité. Cette plasticité n’est pas synonyme de souplesse ou de permissivité. Elle désigne la capacité d’un ordre à se laisser infléchir sans se dissoudre, à se laisser interroger sans se désarmer, à se laisser reprendre sans se renier. C’est cette propriété, morphologiquement localisable, qui distingue un ordre autoritaire d’un ordre habitable ; une régulation mécanique d’une régulation vivante ; une opération froide d’une scène tenue et active.</w:t>
      </w:r>
    </w:p>
    <w:p>
      <w:pPr>
        <w:pStyle w:val="BodyText"/>
        <w:rPr/>
      </w:pPr>
      <w:r>
        <w:rPr/>
        <w:t>Dans cette perspective, l’</w:t>
      </w:r>
      <w:r>
        <w:rPr>
          <w:i/>
          <w:iCs/>
        </w:rPr>
        <w:t>archicratie</w:t>
      </w:r>
      <w:r>
        <w:rPr/>
        <w:t xml:space="preserve"> devient la forme intelligible de cette plasticité politique. Elle ne se mesure pas à l’existence de garanties formelles ou à la prolifération de droits abstraits, mais à l’effectivité de certaines fonctions morphologiques : </w:t>
      </w:r>
      <w:r>
        <w:rPr>
          <w:i/>
          <w:iCs/>
        </w:rPr>
        <w:t>un sujet peut-il accéder à la scène critique ? L’opération peut-elle être suspendue ? Une comparution est-elle possible ? Une requalification peut-elle advenir ? Une mémoire critique est-elle conservée ?</w:t>
      </w:r>
      <w:r>
        <w:rPr/>
        <w:t xml:space="preserve"> Loin de tout idéalisme, le paradigme archicratique propose donc une critériologie concrète, à partir de laquelle on peut analyser la viabilité des régimes — non à partir de leurs intentions déclarées, mais à partir de leurs conditions de reformulation.</w:t>
      </w:r>
    </w:p>
    <w:p>
      <w:pPr>
        <w:pStyle w:val="BodyText"/>
        <w:rPr/>
      </w:pPr>
      <w:r>
        <w:rPr/>
        <w:t>C’est en ce sens qu’il s’agit d’un paradigme non pas normatif, mais épistémologiquement productif. Il ne dit pas ce que doit être un bon régime : il rend lisible ce qui rend une régulation habitable, amendable, transformable — et ce qui, à l’inverse, la ferme sur ses effets, la fige dans ses gestes, la condamne à se répéter et à terme à péricliter. Il propose une forme critique non doctrinale, une manière d’identifier des seuils, de qualifier des scènes, de repérer des tensions, sans présumer a priori d’un idéal de société. En cela, il s’adresse autant à des régimes démocratiques qu’à des régulations algorithmiques, à des dispositifs communautaires qu’à des configurations bureaucratiques. C’est un instrument d’écoute morphologique, un opérateur d’exposition et de traduction entre ce qui agit et ce qui peut être corrigé.</w:t>
      </w:r>
    </w:p>
    <w:p>
      <w:pPr>
        <w:pStyle w:val="BodyText"/>
        <w:rPr/>
      </w:pPr>
      <w:r>
        <w:rPr/>
        <w:t xml:space="preserve">Mais cette productivité critique engage aussi une exigence : si un régime se donne à lire archicratiquement, alors il accepte d’être adressé, de comparaître, d’être reconfiguré depuis ce qu’il fait. Et c’est là que la valence politique du paradigme se précise. Cette précision n’érige pas l’archicratie en idéal normatif préalable ; elle indique seulement le seuil à partir duquel une régulation cesse d’être purement fonctionnelle pour devenir politiquement habitable. Car un pouvoir peut bien se proclamer légitime, équitable, nécessaire — il ne devient habitable que s’il peut être mis à l’épreuve de sa propre scène. La </w:t>
      </w:r>
      <w:r>
        <w:rPr>
          <w:i/>
          <w:iCs/>
        </w:rPr>
        <w:t>scène archicrative</w:t>
      </w:r>
      <w:r>
        <w:rPr/>
        <w:t>, au cœur du paradigme, est ce lieu où le pouvoir ne s’effondre pas quand il est exposé : il s’y rend recevable. Il y gagne en consistance ce qu’il perd en clôture. Il y devient politique non par proclamation, mais par acceptation de sa propre reformulation.</w:t>
      </w:r>
    </w:p>
    <w:p>
      <w:pPr>
        <w:pStyle w:val="BodyText"/>
        <w:rPr/>
      </w:pPr>
      <w:r>
        <w:rPr/>
        <w:t>Il fallait dès lors que cette modélisation ne se contente pas d’une intuition politique, d’un geste polémique, ou d’un effet d’annonce critique. Elle devait pouvoir fonder une validité épistémologique solide, à même de garantir que la grille archicratique ne dérive ni en système doctrinaire, ni en méthodologie molle. C’est à cette exigence que ce premier chapitre a voulu répondre, en établissant les conditions épistémologiques, morphologiques et fonctionnelles d’un paradigme rigoureux — autrement dit : sa possibilité scientifique, sa cohérence structurale et son opérabilité critique.</w:t>
      </w:r>
    </w:p>
    <w:p>
      <w:pPr>
        <w:pStyle w:val="BodyText"/>
        <w:rPr/>
      </w:pPr>
      <w:r>
        <w:rPr/>
        <w:t>Ce cadre repose d’abord sur un socle d’axiomes explicites, qui ont été énoncés avec clarté : le fait qu’il n’existe pas de régulation sans opération ; qu’il n’existe pas d’opération sans seuil ; que toute opération produit des effets ; et que tout effet, pour ne pas se refermer en boucle tautologique, suppose une scène d’adresse. Ces axiomes offrent un ancrage différentiel, à partir duquel on peut lire, comparer, décrire et falsifier les régimes régulateurs. Leur puissance tient moins à leur autorité qu’à leur fertilité ontologique et critique : ils permettent de présenter ce qui est et de faire apparaître des différences là où l’on croyait à l’unité, de voir des continuités là où l’on croyait à la rupture, de produire des régimes de lisibilité là où le pouvoir semblait se passer de forme.</w:t>
      </w:r>
    </w:p>
    <w:p>
      <w:pPr>
        <w:pStyle w:val="BodyText"/>
        <w:rPr/>
      </w:pPr>
      <w:r>
        <w:rPr/>
        <w:t>À cette assise épistémologique s’ajoute une topologie morphogénétique précise : celle des trois pôles co-dépendants que sont l’</w:t>
      </w:r>
      <w:r>
        <w:rPr>
          <w:i/>
          <w:iCs/>
        </w:rPr>
        <w:t>arcalité</w:t>
      </w:r>
      <w:r>
        <w:rPr/>
        <w:t xml:space="preserve">, la </w:t>
      </w:r>
      <w:r>
        <w:rPr>
          <w:i/>
          <w:iCs/>
        </w:rPr>
        <w:t>cratialité</w:t>
      </w:r>
      <w:r>
        <w:rPr/>
        <w:t>, et l’</w:t>
      </w:r>
      <w:r>
        <w:rPr>
          <w:i/>
          <w:iCs/>
        </w:rPr>
        <w:t>archicration</w:t>
      </w:r>
      <w:r>
        <w:rPr/>
        <w:t>.</w:t>
      </w:r>
    </w:p>
    <w:p>
      <w:pPr>
        <w:pStyle w:val="BodyText"/>
        <w:rPr/>
      </w:pPr>
      <w:r>
        <w:rPr/>
        <w:t>On pourra tenir dès lors cette distinction comme canonique dans toute la suite de l’essai : l’arcalité désigne ce à partir de quoi un ordre se fonde, la cratialité ce par quoi il opère, l’archicration ce par quoi il accepte d’être exposé à l’épreuve de ce qu’il affecte.</w:t>
      </w:r>
    </w:p>
    <w:p>
      <w:pPr>
        <w:pStyle w:val="BodyText"/>
        <w:rPr/>
      </w:pPr>
      <w:r>
        <w:rPr/>
        <w:t>Ces trois formes ne sont pas des catégories séparées, mais des tensions différentielles. L’</w:t>
      </w:r>
      <w:r>
        <w:rPr>
          <w:i/>
          <w:iCs/>
        </w:rPr>
        <w:t>arcalité</w:t>
      </w:r>
      <w:r>
        <w:rPr/>
        <w:t xml:space="preserve"> désigne le régime de fondation, de légitimation, de normativité première. La </w:t>
      </w:r>
      <w:r>
        <w:rPr>
          <w:i/>
          <w:iCs/>
        </w:rPr>
        <w:t>cratialité</w:t>
      </w:r>
      <w:r>
        <w:rPr/>
        <w:t xml:space="preserve"> désigne le régime d’opération, d’agencement, de transmission effective de l’acte régulateur. L’</w:t>
      </w:r>
      <w:r>
        <w:rPr>
          <w:i/>
          <w:iCs/>
        </w:rPr>
        <w:t>archicration</w:t>
      </w:r>
      <w:r>
        <w:rPr/>
        <w:t xml:space="preserve"> désigne, enfin, le régime de mise en scène, d’exposition, de révision. À elles trois, elles ne forment pas une succession, mais une co-tenue dynamique, une </w:t>
      </w:r>
      <w:r>
        <w:rPr>
          <w:i/>
          <w:iCs/>
        </w:rPr>
        <w:t>structure tenségrale</w:t>
      </w:r>
      <w:r>
        <w:rPr/>
        <w:t>, un méta-régime dans lequel chaque pôle dépend de sa capacité à être modulé, repris ou réinstitué par les deux autres. C’est cette interdépendance structurelle qui rend le paradigme archicratique proprement transductif : non pas un système clos, mais une forme générative de différenciation épistémique, lisible dans des contextes variés, mais toujours soumise à ses propres conditions de vérification.</w:t>
      </w:r>
    </w:p>
    <w:p>
      <w:pPr>
        <w:pStyle w:val="BodyText"/>
        <w:rPr/>
      </w:pPr>
      <w:r>
        <w:rPr/>
        <w:t>Enfin, l’un des apports majeurs du paradigme archicratique réside dans la discipline analytique qu’il institue : il ne repose ni sur des oppositions binaires, ni sur des jugements de valeur moralement investis. Il ne divise pas les régimes en formes de domination ou d’émancipation, en structures verticales ou horizontales, en démocraties acceptables ou en autoritarismes décriés. Il ne cherche pas à trier ce qui est « juste » de ce qui serait « illégitime » selon une norme externe. Il s’attache plutôt à repérer ce qui permet à une régulation, en situation, de se maintenir dans un équilibre habitable — ou, à l’inverse, ce qui fait qu’elle se disloque, se clôt, ou devient inaccessible à ceux qu’elle affecte.</w:t>
      </w:r>
    </w:p>
    <w:p>
      <w:pPr>
        <w:pStyle w:val="BodyText"/>
        <w:rPr/>
      </w:pPr>
      <w:r>
        <w:rPr/>
        <w:t>Le paradigme archicratique ne trie pas les régimes en “bons” ou “mauvais” : il observe, en situation et quel que soit le milieu, si une pratique collective peut être ramenée à des raisons partageables, si ses opérations et supports matériels sont visibles pour ceux qui les vivent, et s’il existe un lieu et un temps institués pour interrompre et rejouer ce qui s’impose — qu’il s’agisse d’un tour d’eau sur un réseau d’irrigation, d’une fermeture saisonnière négociée sur la grève, d’un rituel de réparation après offense, d’un comité de tri en hôpital, d’un conseil de quartier, d’une rédaction qui publie ses corrections, d’un laboratoire qui expose ses protocoles, d’un couloir de transhumance rouvert par les éleveurs, ou d’un bassin versant où l’on fait comparaître la rivière et les sols comme parties prenantes. Là où ces trois conditions — raison commune, opérativité traçable, scène d’interruption opposable — tiennent ensemble, la régulation demeure habitable et apprend d’elle-même ; là où l’une manque, elle se clôt, devient muette aux affectés (humains et non-humains) et perd la capacité de se réformer.</w:t>
      </w:r>
    </w:p>
    <w:p>
      <w:pPr>
        <w:pStyle w:val="BodyText"/>
        <w:rPr/>
      </w:pPr>
      <w:r>
        <w:rPr/>
        <w:t>Notre paradigme ne se contente pas d’opposer pouvoir et contre-pouvoir ni de juger un ordre à ses intentions déclarées ; il fournit un outillage opératoire pour lire, en situation et à travers milieux, la consistance d’une régulation.</w:t>
      </w:r>
    </w:p>
    <w:p>
      <w:pPr>
        <w:pStyle w:val="BodyText"/>
        <w:rPr/>
      </w:pPr>
      <w:r>
        <w:rPr/>
        <w:t>Nous observons d’abord qui peut entrer et transformer ce qui fait règle — qu’il s’agisse d’un collectif d’irrigants qui redéfinit le tour d’eau, d’une rédaction qui publie et amende sa charte, d’un service hospitalier qui requalifie ses critères de tri, ou d’un conseil rituel qui répare l’offense — puis à quel rythme se jouent activation, suspension et ajustement, c’est-à-dire la temporalité réelle des décisions et de leurs reprises. Nous examinons où l’action comparaît (scène publique, conseil de bassin, assemblée de métiers, laboratoire ouvrant ses protocoles) et quel différé sépare l’opération de la possibilité de son réexamen effectif, car sans délai de révision institué, perdure une exécution aveugle aux conséquences.</w:t>
      </w:r>
    </w:p>
    <w:p>
      <w:pPr>
        <w:pStyle w:val="BodyText"/>
        <w:rPr/>
      </w:pPr>
      <w:r>
        <w:rPr/>
        <w:t>Nous identifions ensuite les registres de justification réellement mobilisés pour maintenir ou corriger (principe de soin, équité d’accès, soutenabilité écologique, fidélité à l’œuvre, continuité d’usage) et la forme d’adresse qui autorise — ou empêche — qu’un sujet, humain ou non-humain, atteigne la scène où se discute ce qui le concerne (habitants d’un versant, saisonniers d’une criée, usagers d’une plateforme, éleveurs sur un couloir de transhumance). En combinant ces plans — accès transformateur, rythmes, comparution, différé, justification, adresse — nous passons d’un jugement abstrait à une évaluation archicratique : un ordre est d’autant plus habitable qu’il rend ces dimensions visibles, actionnables et opposables ; il se clôt, au contraire, lorsqu’elles restent implicites, inaccessibles ou simulées.</w:t>
      </w:r>
    </w:p>
    <w:p>
      <w:pPr>
        <w:pStyle w:val="BodyText"/>
        <w:rPr/>
      </w:pPr>
      <w:r>
        <w:rPr/>
        <w:t xml:space="preserve">Cette lecture archicratique n’assène pas des verdicts moraux, elle tente d’éprouver des régulations situées en vérifiant, à partir d’indices observables et partageables, si un ordre tient dans la </w:t>
      </w:r>
      <w:r>
        <w:rPr>
          <w:i/>
          <w:iCs/>
        </w:rPr>
        <w:t>co-viabilité</w:t>
      </w:r>
      <w:r>
        <w:rPr/>
        <w:t>. Elle demande d’abord si les raisons qui le fondent sont adressables (</w:t>
      </w:r>
      <w:r>
        <w:rPr>
          <w:i/>
          <w:iCs/>
        </w:rPr>
        <w:t>arcalité</w:t>
      </w:r>
      <w:r>
        <w:rPr/>
        <w:t xml:space="preserve"> rendue publique, compréhensible par celles et ceux qu’elle engage), puis si ses opérations sont traçables dans leurs supports (</w:t>
      </w:r>
      <w:r>
        <w:rPr>
          <w:i/>
          <w:iCs/>
        </w:rPr>
        <w:t>cratialité</w:t>
      </w:r>
      <w:r>
        <w:rPr/>
        <w:t xml:space="preserve"> située : procédures, instruments, gestes, infrastructures, du comité de tri à l’atelier, du tour d’eau au service hospitalier), enfin s’il existe un lieu-temps d’interruption opposable où les affectés — humains et non-humains, habitants, usagers, utilisateurs, métiers, milieux — peuvent réellement rejouer ce qui s’impose (</w:t>
      </w:r>
      <w:r>
        <w:rPr>
          <w:i/>
          <w:iCs/>
        </w:rPr>
        <w:t>archicration</w:t>
      </w:r>
      <w:r>
        <w:rPr/>
        <w:t xml:space="preserve"> effective, avec délai, comparution, formats de preuve). Quand l’un de ces trois appuis manque, la régulation se clôt (seuil déplacé sans scène, rituel de réparation court-circuité, protocole de laboratoire non exposé) ; lorsqu’ils co-existent et demeurent accessibles, elle reste habitable, révisable, apprenante. Ainsi entendue, la critique ne sépare pas “domination” et “émancipation” en abstrait : elle diagnostique des scènes — praticables ou impraticables — à partir de leurs conditions d’apparition, de leur différé et de leur opposabilité, dans la diversité concrète des milieux où se joue le commun.</w:t>
      </w:r>
    </w:p>
    <w:p>
      <w:pPr>
        <w:pStyle w:val="BodyText"/>
        <w:rPr/>
      </w:pPr>
      <w:r>
        <w:rPr/>
        <w:t xml:space="preserve">En ce sens, le paradigme archicratique offre un dispositif critique à la fois rigoureux et falsifiable. Rigoureux, parce qu’il repose sur une grille de lecture formalisée, fondée sur des catégories morphologiques circonscrites — </w:t>
      </w:r>
      <w:r>
        <w:rPr>
          <w:i/>
          <w:iCs/>
        </w:rPr>
        <w:t>arcalité, cratialité, archicration</w:t>
      </w:r>
      <w:r>
        <w:rPr/>
        <w:t xml:space="preserve"> — et sur leurs articulations spécifiques dans chaque situation de régulation. Ces catégories ne sont pas des idéaux abstraits, mais des formes opératoires qui peuvent être situées, décrites, analysées, mises en tension. Falsifiable aussi, parce que le cadre lui-même peut être mis à l’épreuve : on peut démontrer qu’un régime qui prétendrait implicitement articuler ces trois pôles échoue à le faire ; qu’une scène annoncée comme ouverte à la contestation ne permet ni l’accès effectif, ni la comparution intelligible, ni la réversibilité motivée ; qu’un dispositif qui se présente comme équitable peine à produire les conditions minimales d’une adresse partagée.</w:t>
      </w:r>
    </w:p>
    <w:p>
      <w:pPr>
        <w:pStyle w:val="BodyText"/>
        <w:rPr/>
      </w:pPr>
      <w:r>
        <w:rPr/>
        <w:t>Ce point est décisif : la théorie archicratique n’est pas un dogme, ni une logique d’application descendante. Elle ne cherche pas à enfermer le politique dans une formule. Elle se présente comme une scène critique à part entière : une scène où le pouvoir doit pouvoir être mis à l’épreuve, mais aussi — et c’est le geste réflexif fondamental — où la théorie elle-même doit pouvoir être interrogée selon ses propres critères. En cela, elle ne se contente pas de produire des outils critiques : elle ouvre un espace d’auto-critique structurée, où toute configuration — y compris théorique — peut être exposée, évaluée, reconfigurée. Elle ne prescrit pas ce que doit être une régulation légitime ; elle invite à examiner ce qui tient, ce qui dysfonctionne, ce qui résiste à la comparution, dans chaque régime, chaque dispositif, chaque scène.</w:t>
      </w:r>
    </w:p>
    <w:p>
      <w:pPr>
        <w:pStyle w:val="BodyText"/>
        <w:rPr/>
      </w:pPr>
      <w:r>
        <w:rPr/>
        <w:t xml:space="preserve">Ce qui est gagné ici est une discipline critique contextualisable, applicable à toute configuration régulatrice — qu’elle soit juridique, bureaucratique, algorithmique, communautaire, rituelle ou hybride. La question n’est donc pas de savoir si un régime est juste selon une norme extérieure, mais : </w:t>
      </w:r>
      <w:r>
        <w:rPr>
          <w:i/>
          <w:iCs/>
        </w:rPr>
        <w:t>est-il habitable ? Est-il encore capable d’assurer une viabilité à celles et ceux qu’il affecte ?</w:t>
      </w:r>
    </w:p>
    <w:p>
      <w:pPr>
        <w:pStyle w:val="BodyText"/>
        <w:rPr/>
      </w:pPr>
      <w:r>
        <w:rPr/>
        <w:t>Si toute régulation ne tient que par l’exposition de ses raisons, la traçabilité de ses opérations et l’existence d’un lieu-temps d’interruption opposable, alors notre discours doit se soumettre aux mêmes conditions. C’est le sens de la réflexivité que nous instituons ici : l’arcalité de l’arcalité (nos fondements comparants exposent la provenance de leurs sources, la communauté qui les autorise, les voies d’élargissement qui permettent à d’autres — humains, non-humains, milieux — d’y prendre part) ; la cratialité de la cratialité (nos instruments conceptuels sont accompagnés de leurs bancs d’essai : critères d’usage, zones d’inefficacité, droits d’arrêt, essais contradictoires qui les reconfigurent) ; l’archicration de l’archicration (la scène même où s’exerce notre méthode peut être refondée : accès, coûts d’entrée, formats de preuve, rythmes de reprise) ; enfin l’archicratie de l’archicratie (nous bornons la récursivité par des paliers de revisitation et des déclencheurs explicites — moratoires, réexamens périodiques — afin d’empêcher toute sacralisation de nos propres prises). Autrement dit, la théorie n’invoque pas la scène : elle s’y présente.</w:t>
      </w:r>
    </w:p>
    <w:p>
      <w:pPr>
        <w:pStyle w:val="BodyText"/>
        <w:rPr/>
      </w:pPr>
      <w:r>
        <w:rPr/>
        <w:t>Ce déplacement change la teneur de la critique. Nous diagnostiquons des scènes dans la diversité des milieux où se joue le commun. Là où un tour d’eau s’ajuste à la saison et aux sols, où un service hospitalier requalifie ses critères de tri sous le regard de celles et ceux qu’ils engagent, où une criée rouvre — ou non — une fermeture saisonnière, où une rédaction publie la filiation d’une correction, où un protocole de laboratoire s’expose à la réfutation de pairs et de profanes concernés, la théorie ne demande pas “qui a le pouvoir ?” mais “quelles raisons sont adressables, quelles opérations sont traçables, quelle interruption est opposable ?”. Lorsque ces trois appuis coexistent et demeurent accessibles, la régulation apprend d’elle-même ; lorsqu’un seul manque — fondement introuvable, opérativité opaque, absence de délai contradictoire — elle se clôt, et la co-viabilité se défait.</w:t>
      </w:r>
    </w:p>
    <w:p>
      <w:pPr>
        <w:pStyle w:val="BodyText"/>
        <w:rPr/>
      </w:pPr>
      <w:r>
        <w:rPr/>
        <w:t>En nous appliquant cette même épreuve, nous évitons deux pièges symétriques : d’un côté, la tentation normative (prescrire sans faire apparaître) ; de l’autre, la tentation techniciste (confondre validité et performance). Notre cadre n’est recevable qu’à la condition d’être falsifiable en situation : un lecteur, une communauté ou un milieu doit pouvoir montrer que telle “raison” n’est pas adressable, que tel “instrument” n’a pas de banc d’essai public, que telle “scène” est impraticable — et obtenir en retour non une défense, mais une révision ou un affinement. Nous nommons cela le principe de suffisance de scène : nul énoncé théorique n’est valable s’il n’établit pas la suffisance de sa propre scène d’épreuve (qui parle, où comparaître, selon quel délai, avec quel pouvoir de suspension ou de réforme).</w:t>
      </w:r>
    </w:p>
    <w:p>
      <w:pPr>
        <w:pStyle w:val="BodyText"/>
        <w:rPr/>
      </w:pPr>
      <w:r>
        <w:rPr/>
        <w:t>Dès lors, cette conclusion installe un protocole. Nous y engageons notre théorie à demeurer adressable dans ses fondements, traçable dans ses instruments, interruptible dans ses formats : arcalité exposée, cratialité éprouvée, archicration ouverte — et, au-delà, une archicratie méthodologique qui assure la non-clôture de l’ensemble en programmant ses propres paliers de révision. Si quelque chose “tient” ici, ce ne sera pas par autorité, mais par la capacité reconnue et instituée de celles et ceux que nos pages affectent à rouvrir ce qui s’y affirme. C’est à ce prix — et à ce prix seulement — que la théorie archicrative de l’archicratie parlera depuis la scène qu’elle habite, et qu’elle contribuera, avec justesse, à la tâche la plus simple bien que la plus rare : rendre le monde tant que possible intelligible.</w:t>
      </w:r>
    </w:p>
    <w:p>
      <w:pPr>
        <w:pStyle w:val="BodyText"/>
        <w:rPr/>
      </w:pPr>
      <w:r>
        <w:rPr/>
        <w:t>C’est pourquoi le paradigme archicratique n’unifie pas les régimes, il les différencie. Il montre qu’il n’existe pas de pouvoir « pur », pas plus que de forme de régulation intégralement consistante. Il n’y a que des combinaisons — plus ou moins tenues, plus ou moins désajustées, plus ou moins reconfigurables — entre ce qui fonde, ce qui opère et ce qui s’expose. Un régime peut se déclarer démocratique et être cratialement impénétrable. Un dispositif peut se présenter comme ouvert et ne tenir aucune scène. Une communauté peut opérer une régulation sans texte fondateur, mais avec une scène de comparution vive. Le paradigme ne fige rien : il rend lisibles les écarts entre ce qui est institué, ce qui est agissant et sur quoi il agit, ce qui est rendu contestable.</w:t>
      </w:r>
    </w:p>
    <w:p>
      <w:pPr>
        <w:pStyle w:val="BodyText"/>
        <w:rPr/>
      </w:pPr>
      <w:r>
        <w:rPr/>
        <w:t>Ce dispositif différentiel est ce qui va désormais guider la progression de l’essai. Le paradigme n’est pas un point d’arrivée théorique, mais un instrument d’apparition ontologique et de traversée critique qui va se déployer à travers différentes scènes historiques, philosophiques, politiques et techniques. Chaque chapitre à venir n’est pas une « application » du modèle, mais une expérimentation située de ses puissances de lecture.</w:t>
      </w:r>
    </w:p>
    <w:p>
      <w:pPr>
        <w:pStyle w:val="BodyText"/>
        <w:rPr/>
      </w:pPr>
      <w:r>
        <w:rPr/>
        <w:t>Dans cette optique, le chapitre 2 constituera l’épreuve originelle. En retraçant les formes premières de régulation collective — qu’elles soient rituelles, coutumières, scripturaires, logistiques ou symboliques — nous ne nous contenterons pas de repérer les « prémices » d’un système préfiguré. Nous viserons au contraire à rendre compte de la multiplicité des configurations régulatrices à travers lesquelles les formes sociales ont cherché à tenir, à ajuster, à transmettre et à exposer leur propre ordre de viabilité. L’</w:t>
      </w:r>
      <w:r>
        <w:rPr>
          <w:i/>
          <w:iCs/>
        </w:rPr>
        <w:t>arcalité</w:t>
      </w:r>
      <w:r>
        <w:rPr/>
        <w:t xml:space="preserve">, la </w:t>
      </w:r>
      <w:r>
        <w:rPr>
          <w:i/>
          <w:iCs/>
        </w:rPr>
        <w:t>cratialité</w:t>
      </w:r>
      <w:r>
        <w:rPr/>
        <w:t xml:space="preserve"> et l’</w:t>
      </w:r>
      <w:r>
        <w:rPr>
          <w:i/>
          <w:iCs/>
        </w:rPr>
        <w:t>archicration</w:t>
      </w:r>
      <w:r>
        <w:rPr/>
        <w:t>, loin de s’y présenter comme concepts doctrinaux, y apparaîtront comme prises modulantes — parfois explicites, parfois oblitérées, parfois inventées — qui structurent la possibilité même d’un régime de co-viabilité.</w:t>
      </w:r>
    </w:p>
    <w:p>
      <w:pPr>
        <w:pStyle w:val="BodyText"/>
        <w:rPr/>
      </w:pPr>
      <w:r>
        <w:rPr/>
        <w:t xml:space="preserve">Ce qui s’ouvre alors est un laboratoire de différenciation régulatrice. Le paradigme archicratique, tel qu’il a été posé ici dans sa topologie formelle, trouvera dans le chapitre 2 les premières scènes d’épreuve de sa pertinence différentielle : il y montrera qu’il est capable de rendre intelligible ce qui varie réellement d’un régime à l’autre — selon la manière dont il fonde, opère, ou se laisse interroger. Loin d’imposer ses catégories, il s’y laissera </w:t>
      </w:r>
      <w:r>
        <w:rPr>
          <w:i/>
          <w:iCs/>
        </w:rPr>
        <w:t>moduler</w:t>
      </w:r>
      <w:r>
        <w:rPr/>
        <w:t xml:space="preserve"> par les formes historiques, dans une dynamique de transduction critique : non pour valider son propre appareil conceptuel, mais pour en éprouver les seuils, les écarts, les tensions fécondes.</w:t>
      </w:r>
    </w:p>
    <w:p>
      <w:pPr>
        <w:pStyle w:val="BodyText"/>
        <w:rPr/>
      </w:pPr>
      <w:r>
        <w:rPr/>
        <w:t>Car si l’arcalité ne précède pas toujours la cratialité, si la scène d’archicration n’est pas partout formellement instituée, si certaines co-viabilités se soutiennent à travers des fondements implicites, des suspensions peu codifiées ou des mémoires faiblement stabilisées, alors il faut reconnaître que le paradigme ne détermine pas les régimes qu’il analyse : il s’expose à leur complexité. Il n’est pas un moule, mais un geste de lecture — une manière de faire apparaître les points de tension, de redistribution et de transformation. Le chapitre 2 montrera alors comment des configurations archaïques ou proto-politiques, souvent considérées comme « pré-étatiques », témoignent en réalité de formes complexes de régulation différée, de justification rituelle, d’adresse symbolique, de seuils narratifs ou d’épreuves collectives. Il révélera que l’archicration ne coïncide pas nécessairement avec la démocratie formelle, pas plus que la cratialité avec la souveraineté étatique, ni l’arcalité avec la seule Loi écrite : les régimes de viabilité se sont déployés à travers des architectures plus hétérogènes, plus fragiles, plus inventives qu’on ne le suppose.</w:t>
      </w:r>
    </w:p>
    <w:p>
      <w:pPr>
        <w:pStyle w:val="BodyText"/>
        <w:rPr/>
      </w:pPr>
      <w:r>
        <w:rPr/>
        <w:t>Cette co-génération interdit d’en faire une théorie totale. Le paradigme n’a de validité qu’à la condition de rester exposé aux matériaux qu’il interroge, aux contre-descriptions qu’ils imposent, et aux limites que certaines configurations opposent à sa propre extension. Il ne vaut donc ni comme langue souveraine du politique, ni comme schème d’absorption générale, mais comme discipline de discernement dont la portée doit être continuellement rééprouvée.</w:t>
      </w:r>
    </w:p>
    <w:p>
      <w:pPr>
        <w:pStyle w:val="BodyText"/>
        <w:rPr/>
      </w:pPr>
      <w:r>
        <w:rPr/>
        <w:t>C’est donc une archéologie morphologique qui s’ouvrira. Non pas pour remonter à un commencement, mais pour différencier les formes premières de régulation tenue, et ainsi éprouver en retour — par contraste, par confrontation, par amplification — la validité opératoire du paradigme archicratique. Car ce n’est qu’en le confrontant à ces régimes situés qui n’avaient pas encore nos institutions, nos catégories, ni nos grammaires politiques, que nous pourrons établir qu’il s’agit bien d’un paradigme de lecture différenciateur, et non d’un système normatif reconduit à rebours.</w:t>
      </w:r>
    </w:p>
    <w:p>
      <w:pPr>
        <w:pStyle w:val="BodyText"/>
        <w:spacing w:lineRule="auto" w:line="276" w:before="0" w:after="140"/>
        <w:rPr/>
      </w:pPr>
      <w:r>
        <w:rPr/>
        <w:t>Ainsi se clôt ce chapitre 1 : non dans la certitude d’un modèle à dérouler, mais dans l’ouverture d’un champ d’épreuve critique. Car si l’archicration constitue bien la condition d’habitabilité d’un ordre, encore faut-il reconnaître qu’elle ne se donne pas partout sous la forme d’une scène pleinement formalisée, stable ou juridiquement instituée. Elle peut être diffuse, rituelle, intermittente, faiblement codifiée ; mais partout où elle est durablement neutralisée, vidée de sa prise, relocalisée hors d’atteinte ou rendue pratiquement inopérante, la régulation se ferme, devient indisponible à ses affectés et compromet sa propre co-viabilité. Chaque ordre doit donc être interrogé depuis les formes concrètes par lesquelles il rend ses décisions, ses justifications et ses tensions exposables, discutables et révisables, plutôt que depuis nos seules catégories héritées. Le chapitre 2 n’aura pas à éprouver l’origine pure du paradigme, mais sa capacité à rendre compte, sans réduction, de la diversité historique des formes de viabilité collective — autrement dit, de leur co-viabilité.</w:t>
      </w:r>
    </w:p>
    <w:sectPr>
      <w:type w:val="nextPage"/>
      <w:pgSz w:w="11906" w:h="16838"/>
      <w:pgMar w:left="1134" w:right="1134" w:gutter="0" w:header="0" w:top="1134" w:footer="0" w:bottom="1134"/>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OpenSymbol">
    <w:altName w:val="Arial Unicode MS"/>
    <w:charset w:val="01" w:characterSet="utf-8"/>
    <w:family w:val="roman"/>
    <w:pitch w:val="variable"/>
  </w:font>
  <w:font w:name="Liberation Mono">
    <w:altName w:val="Courier New"/>
    <w:charset w:val="01" w:characterSet="utf-8"/>
    <w:family w:val="roman"/>
    <w:pitch w:val="variable"/>
  </w:font>
  <w:font w:name="Liberation Sans">
    <w:altName w:val="Arial"/>
    <w:charset w:val="01" w:characterSet="utf-8"/>
    <w:family w:val="swiss"/>
    <w:pitch w:val="variable"/>
  </w:font>
  <w:font w:name="Symbol">
    <w:charset w:val="01"/>
    <w:family w:val="auto"/>
    <w:pitch w:val="variable"/>
  </w:font>
  <w:font w:name="Courier New">
    <w:charset w:val="01"/>
    <w:family w:val="modern"/>
    <w:pitch w:val="fixed"/>
  </w:font>
  <w:font w:name="Wingdings">
    <w:charset w:val="01"/>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start"/>
      <w:pPr>
        <w:tabs>
          <w:tab w:val="num" w:pos="0"/>
        </w:tabs>
        <w:ind w:start="0" w:hanging="0"/>
      </w:pPr>
      <w:rPr/>
    </w:lvl>
    <w:lvl w:ilvl="1">
      <w:start w:val="1"/>
      <w:numFmt w:val="none"/>
      <w:suff w:val="nothing"/>
      <w:lvlText w:val=""/>
      <w:lvlJc w:val="start"/>
      <w:pPr>
        <w:tabs>
          <w:tab w:val="num" w:pos="0"/>
        </w:tabs>
        <w:ind w:start="0" w:hanging="0"/>
      </w:pPr>
      <w:rPr/>
    </w:lvl>
    <w:lvl w:ilvl="2">
      <w:start w:val="1"/>
      <w:numFmt w:val="none"/>
      <w:suff w:val="nothing"/>
      <w:lvlText w:val=""/>
      <w:lvlJc w:val="start"/>
      <w:pPr>
        <w:tabs>
          <w:tab w:val="num" w:pos="0"/>
        </w:tabs>
        <w:ind w:start="0" w:hanging="0"/>
      </w:pPr>
      <w:rPr/>
    </w:lvl>
    <w:lvl w:ilvl="3">
      <w:start w:val="1"/>
      <w:numFmt w:val="none"/>
      <w:suff w:val="nothing"/>
      <w:lvlText w:val=""/>
      <w:lvlJc w:val="start"/>
      <w:pPr>
        <w:tabs>
          <w:tab w:val="num" w:pos="0"/>
        </w:tabs>
        <w:ind w:start="0" w:hanging="0"/>
      </w:pPr>
      <w:rPr/>
    </w:lvl>
    <w:lvl w:ilvl="4">
      <w:start w:val="1"/>
      <w:numFmt w:val="none"/>
      <w:suff w:val="nothing"/>
      <w:lvlText w:val=""/>
      <w:lvlJc w:val="start"/>
      <w:pPr>
        <w:tabs>
          <w:tab w:val="num" w:pos="0"/>
        </w:tabs>
        <w:ind w:start="0" w:hanging="0"/>
      </w:pPr>
      <w:rPr/>
    </w:lvl>
    <w:lvl w:ilvl="5">
      <w:start w:val="1"/>
      <w:numFmt w:val="none"/>
      <w:suff w:val="nothing"/>
      <w:lvlText w:val=""/>
      <w:lvlJc w:val="start"/>
      <w:pPr>
        <w:tabs>
          <w:tab w:val="num" w:pos="0"/>
        </w:tabs>
        <w:ind w:start="0" w:hanging="0"/>
      </w:pPr>
      <w:rPr/>
    </w:lvl>
    <w:lvl w:ilvl="6">
      <w:start w:val="1"/>
      <w:numFmt w:val="none"/>
      <w:suff w:val="nothing"/>
      <w:lvlText w:val=""/>
      <w:lvlJc w:val="start"/>
      <w:pPr>
        <w:tabs>
          <w:tab w:val="num" w:pos="0"/>
        </w:tabs>
        <w:ind w:start="0" w:hanging="0"/>
      </w:pPr>
      <w:rPr/>
    </w:lvl>
    <w:lvl w:ilvl="7">
      <w:start w:val="1"/>
      <w:numFmt w:val="none"/>
      <w:suff w:val="nothing"/>
      <w:lvlText w:val=""/>
      <w:lvlJc w:val="start"/>
      <w:pPr>
        <w:tabs>
          <w:tab w:val="num" w:pos="0"/>
        </w:tabs>
        <w:ind w:start="0" w:hanging="0"/>
      </w:pPr>
      <w:rPr/>
    </w:lvl>
    <w:lvl w:ilvl="8">
      <w:start w:val="1"/>
      <w:numFmt w:val="none"/>
      <w:suff w:val="nothing"/>
      <w:lvlText w:val=""/>
      <w:lvlJc w:val="start"/>
      <w:pPr>
        <w:tabs>
          <w:tab w:val="num" w:pos="0"/>
        </w:tabs>
        <w:ind w:start="0" w:hanging="0"/>
      </w:pPr>
      <w:rPr/>
    </w:lvl>
  </w:abstractNum>
  <w:abstractNum w:abstractNumId="2">
    <w:lvl w:ilvl="0">
      <w:start w:val="1"/>
      <w:numFmt w:val="none"/>
      <w:suff w:val="nothing"/>
      <w:lvlText w:val=""/>
      <w:lvlJc w:val="start"/>
      <w:pPr>
        <w:tabs>
          <w:tab w:val="num" w:pos="0"/>
        </w:tabs>
        <w:ind w:start="0" w:hanging="0"/>
      </w:pPr>
      <w:rPr/>
    </w:lvl>
    <w:lvl w:ilvl="1">
      <w:start w:val="1"/>
      <w:numFmt w:val="none"/>
      <w:suff w:val="nothing"/>
      <w:lvlText w:val=""/>
      <w:lvlJc w:val="start"/>
      <w:pPr>
        <w:tabs>
          <w:tab w:val="num" w:pos="0"/>
        </w:tabs>
        <w:ind w:start="0" w:hanging="0"/>
      </w:pPr>
      <w:rPr/>
    </w:lvl>
    <w:lvl w:ilvl="2">
      <w:start w:val="1"/>
      <w:numFmt w:val="none"/>
      <w:suff w:val="nothing"/>
      <w:lvlText w:val=""/>
      <w:lvlJc w:val="start"/>
      <w:pPr>
        <w:tabs>
          <w:tab w:val="num" w:pos="0"/>
        </w:tabs>
        <w:ind w:start="0" w:hanging="0"/>
      </w:pPr>
      <w:rPr/>
    </w:lvl>
    <w:lvl w:ilvl="3">
      <w:start w:val="1"/>
      <w:numFmt w:val="none"/>
      <w:suff w:val="nothing"/>
      <w:lvlText w:val=""/>
      <w:lvlJc w:val="start"/>
      <w:pPr>
        <w:tabs>
          <w:tab w:val="num" w:pos="0"/>
        </w:tabs>
        <w:ind w:start="0" w:hanging="0"/>
      </w:pPr>
      <w:rPr/>
    </w:lvl>
    <w:lvl w:ilvl="4">
      <w:start w:val="1"/>
      <w:numFmt w:val="none"/>
      <w:suff w:val="nothing"/>
      <w:lvlText w:val=""/>
      <w:lvlJc w:val="start"/>
      <w:pPr>
        <w:tabs>
          <w:tab w:val="num" w:pos="0"/>
        </w:tabs>
        <w:ind w:start="0" w:hanging="0"/>
      </w:pPr>
      <w:rPr/>
    </w:lvl>
    <w:lvl w:ilvl="5">
      <w:start w:val="1"/>
      <w:numFmt w:val="none"/>
      <w:suff w:val="nothing"/>
      <w:lvlText w:val=""/>
      <w:lvlJc w:val="start"/>
      <w:pPr>
        <w:tabs>
          <w:tab w:val="num" w:pos="0"/>
        </w:tabs>
        <w:ind w:start="0" w:hanging="0"/>
      </w:pPr>
      <w:rPr/>
    </w:lvl>
    <w:lvl w:ilvl="6">
      <w:start w:val="1"/>
      <w:numFmt w:val="none"/>
      <w:suff w:val="nothing"/>
      <w:lvlText w:val=""/>
      <w:lvlJc w:val="start"/>
      <w:pPr>
        <w:tabs>
          <w:tab w:val="num" w:pos="0"/>
        </w:tabs>
        <w:ind w:start="0" w:hanging="0"/>
      </w:pPr>
      <w:rPr/>
    </w:lvl>
    <w:lvl w:ilvl="7">
      <w:start w:val="1"/>
      <w:numFmt w:val="none"/>
      <w:suff w:val="nothing"/>
      <w:lvlText w:val=""/>
      <w:lvlJc w:val="start"/>
      <w:pPr>
        <w:tabs>
          <w:tab w:val="num" w:pos="0"/>
        </w:tabs>
        <w:ind w:start="0" w:hanging="0"/>
      </w:pPr>
      <w:rPr/>
    </w:lvl>
    <w:lvl w:ilvl="8">
      <w:start w:val="1"/>
      <w:numFmt w:val="none"/>
      <w:suff w:val="nothing"/>
      <w:lvlText w:val=""/>
      <w:lvlJc w:val="start"/>
      <w:pPr>
        <w:tabs>
          <w:tab w:val="num" w:pos="0"/>
        </w:tabs>
        <w:ind w:start="0" w:hanging="0"/>
      </w:pPr>
      <w:rPr/>
    </w:lvl>
  </w:abstractNum>
  <w:abstractNum w:abstractNumId="3">
    <w:lvl w:ilvl="0">
      <w:numFmt w:val="bullet"/>
      <w:lvlText w:val=""/>
      <w:lvlJc w:val="start"/>
      <w:pPr>
        <w:tabs>
          <w:tab w:val="num" w:pos="0"/>
        </w:tabs>
        <w:ind w:start="720" w:hanging="360"/>
      </w:pPr>
      <w:rPr>
        <w:rFonts w:ascii="Symbol" w:hAnsi="Symbol" w:cs="Symbol" w:hint="default"/>
      </w:rPr>
    </w:lvl>
    <w:lvl w:ilvl="1">
      <w:start w:val="0"/>
      <w:numFmt w:val="bullet"/>
      <w:lvlText w:val="o"/>
      <w:lvlJc w:val="start"/>
      <w:pPr>
        <w:tabs>
          <w:tab w:val="num" w:pos="0"/>
        </w:tabs>
        <w:ind w:start="1440" w:hanging="360"/>
      </w:pPr>
      <w:rPr>
        <w:rFonts w:ascii="Courier New" w:hAnsi="Courier New" w:cs="Courier New" w:hint="default"/>
      </w:rPr>
    </w:lvl>
    <w:lvl w:ilvl="2">
      <w:start w:val="0"/>
      <w:numFmt w:val="bullet"/>
      <w:lvlText w:val=""/>
      <w:lvlJc w:val="start"/>
      <w:pPr>
        <w:tabs>
          <w:tab w:val="num" w:pos="0"/>
        </w:tabs>
        <w:ind w:start="2160" w:hanging="360"/>
      </w:pPr>
      <w:rPr>
        <w:rFonts w:ascii="Wingdings" w:hAnsi="Wingdings" w:cs="Wingdings" w:hint="default"/>
      </w:rPr>
    </w:lvl>
    <w:lvl w:ilvl="3">
      <w:start w:val="0"/>
      <w:numFmt w:val="bullet"/>
      <w:lvlText w:val=""/>
      <w:lvlJc w:val="start"/>
      <w:pPr>
        <w:tabs>
          <w:tab w:val="num" w:pos="0"/>
        </w:tabs>
        <w:ind w:start="2880" w:hanging="360"/>
      </w:pPr>
      <w:rPr>
        <w:rFonts w:ascii="Symbol" w:hAnsi="Symbol" w:cs="Symbol" w:hint="default"/>
      </w:rPr>
    </w:lvl>
    <w:lvl w:ilvl="4">
      <w:start w:val="0"/>
      <w:numFmt w:val="bullet"/>
      <w:lvlText w:val="o"/>
      <w:lvlJc w:val="start"/>
      <w:pPr>
        <w:tabs>
          <w:tab w:val="num" w:pos="0"/>
        </w:tabs>
        <w:ind w:start="3600" w:hanging="360"/>
      </w:pPr>
      <w:rPr>
        <w:rFonts w:ascii="Courier New" w:hAnsi="Courier New" w:cs="Courier New" w:hint="default"/>
      </w:rPr>
    </w:lvl>
    <w:lvl w:ilvl="5">
      <w:start w:val="0"/>
      <w:numFmt w:val="bullet"/>
      <w:lvlText w:val=""/>
      <w:lvlJc w:val="start"/>
      <w:pPr>
        <w:tabs>
          <w:tab w:val="num" w:pos="0"/>
        </w:tabs>
        <w:ind w:start="4320" w:hanging="360"/>
      </w:pPr>
      <w:rPr>
        <w:rFonts w:ascii="Wingdings" w:hAnsi="Wingdings" w:cs="Wingdings" w:hint="default"/>
      </w:rPr>
    </w:lvl>
    <w:lvl w:ilvl="6">
      <w:start w:val="0"/>
      <w:numFmt w:val="bullet"/>
      <w:lvlText w:val=""/>
      <w:lvlJc w:val="start"/>
      <w:pPr>
        <w:tabs>
          <w:tab w:val="num" w:pos="0"/>
        </w:tabs>
        <w:ind w:start="5040" w:hanging="360"/>
      </w:pPr>
      <w:rPr>
        <w:rFonts w:ascii="Symbol" w:hAnsi="Symbol" w:cs="Symbol" w:hint="default"/>
      </w:rPr>
    </w:lvl>
    <w:lvl w:ilvl="7">
      <w:start w:val="0"/>
      <w:numFmt w:val="bullet"/>
      <w:lvlText w:val="o"/>
      <w:lvlJc w:val="start"/>
      <w:pPr>
        <w:tabs>
          <w:tab w:val="num" w:pos="0"/>
        </w:tabs>
        <w:ind w:start="5760" w:hanging="360"/>
      </w:pPr>
      <w:rPr>
        <w:rFonts w:ascii="Courier New" w:hAnsi="Courier New" w:cs="Courier New" w:hint="default"/>
      </w:rPr>
    </w:lvl>
    <w:lvl w:ilvl="8">
      <w:start w:val="0"/>
      <w:numFmt w:val="bullet"/>
      <w:lvlText w:val=""/>
      <w:lvlJc w:val="start"/>
      <w:pPr>
        <w:tabs>
          <w:tab w:val="num" w:pos="0"/>
        </w:tabs>
        <w:ind w:start="6480" w:hanging="360"/>
      </w:pPr>
      <w:rPr>
        <w:rFonts w:ascii="Wingdings" w:hAnsi="Wingdings" w:cs="Wingdings" w:hint="default"/>
      </w:rPr>
    </w:lvl>
  </w:abstractNum>
  <w:abstractNum w:abstractNumId="4">
    <w:lvl w:ilvl="0">
      <w:numFmt w:val="bullet"/>
      <w:lvlText w:val=""/>
      <w:lvlJc w:val="start"/>
      <w:pPr>
        <w:tabs>
          <w:tab w:val="num" w:pos="0"/>
        </w:tabs>
        <w:ind w:start="720" w:hanging="360"/>
      </w:pPr>
      <w:rPr>
        <w:rFonts w:ascii="Symbol" w:hAnsi="Symbol" w:cs="Symbol" w:hint="default"/>
      </w:rPr>
    </w:lvl>
    <w:lvl w:ilvl="1">
      <w:start w:val="0"/>
      <w:numFmt w:val="bullet"/>
      <w:lvlText w:val="o"/>
      <w:lvlJc w:val="start"/>
      <w:pPr>
        <w:tabs>
          <w:tab w:val="num" w:pos="0"/>
        </w:tabs>
        <w:ind w:start="1440" w:hanging="360"/>
      </w:pPr>
      <w:rPr>
        <w:rFonts w:ascii="Courier New" w:hAnsi="Courier New" w:cs="Courier New" w:hint="default"/>
      </w:rPr>
    </w:lvl>
    <w:lvl w:ilvl="2">
      <w:start w:val="0"/>
      <w:numFmt w:val="bullet"/>
      <w:lvlText w:val=""/>
      <w:lvlJc w:val="start"/>
      <w:pPr>
        <w:tabs>
          <w:tab w:val="num" w:pos="0"/>
        </w:tabs>
        <w:ind w:start="2160" w:hanging="360"/>
      </w:pPr>
      <w:rPr>
        <w:rFonts w:ascii="Wingdings" w:hAnsi="Wingdings" w:cs="Wingdings" w:hint="default"/>
      </w:rPr>
    </w:lvl>
    <w:lvl w:ilvl="3">
      <w:start w:val="0"/>
      <w:numFmt w:val="bullet"/>
      <w:lvlText w:val=""/>
      <w:lvlJc w:val="start"/>
      <w:pPr>
        <w:tabs>
          <w:tab w:val="num" w:pos="0"/>
        </w:tabs>
        <w:ind w:start="2880" w:hanging="360"/>
      </w:pPr>
      <w:rPr>
        <w:rFonts w:ascii="Symbol" w:hAnsi="Symbol" w:cs="Symbol" w:hint="default"/>
      </w:rPr>
    </w:lvl>
    <w:lvl w:ilvl="4">
      <w:start w:val="0"/>
      <w:numFmt w:val="bullet"/>
      <w:lvlText w:val="o"/>
      <w:lvlJc w:val="start"/>
      <w:pPr>
        <w:tabs>
          <w:tab w:val="num" w:pos="0"/>
        </w:tabs>
        <w:ind w:start="3600" w:hanging="360"/>
      </w:pPr>
      <w:rPr>
        <w:rFonts w:ascii="Courier New" w:hAnsi="Courier New" w:cs="Courier New" w:hint="default"/>
      </w:rPr>
    </w:lvl>
    <w:lvl w:ilvl="5">
      <w:start w:val="0"/>
      <w:numFmt w:val="bullet"/>
      <w:lvlText w:val=""/>
      <w:lvlJc w:val="start"/>
      <w:pPr>
        <w:tabs>
          <w:tab w:val="num" w:pos="0"/>
        </w:tabs>
        <w:ind w:start="4320" w:hanging="360"/>
      </w:pPr>
      <w:rPr>
        <w:rFonts w:ascii="Wingdings" w:hAnsi="Wingdings" w:cs="Wingdings" w:hint="default"/>
      </w:rPr>
    </w:lvl>
    <w:lvl w:ilvl="6">
      <w:start w:val="0"/>
      <w:numFmt w:val="bullet"/>
      <w:lvlText w:val=""/>
      <w:lvlJc w:val="start"/>
      <w:pPr>
        <w:tabs>
          <w:tab w:val="num" w:pos="0"/>
        </w:tabs>
        <w:ind w:start="5040" w:hanging="360"/>
      </w:pPr>
      <w:rPr>
        <w:rFonts w:ascii="Symbol" w:hAnsi="Symbol" w:cs="Symbol" w:hint="default"/>
      </w:rPr>
    </w:lvl>
    <w:lvl w:ilvl="7">
      <w:start w:val="0"/>
      <w:numFmt w:val="bullet"/>
      <w:lvlText w:val="o"/>
      <w:lvlJc w:val="start"/>
      <w:pPr>
        <w:tabs>
          <w:tab w:val="num" w:pos="0"/>
        </w:tabs>
        <w:ind w:start="5760" w:hanging="360"/>
      </w:pPr>
      <w:rPr>
        <w:rFonts w:ascii="Courier New" w:hAnsi="Courier New" w:cs="Courier New" w:hint="default"/>
      </w:rPr>
    </w:lvl>
    <w:lvl w:ilvl="8">
      <w:start w:val="0"/>
      <w:numFmt w:val="bullet"/>
      <w:lvlText w:val=""/>
      <w:lvlJc w:val="start"/>
      <w:pPr>
        <w:tabs>
          <w:tab w:val="num" w:pos="0"/>
        </w:tabs>
        <w:ind w:start="6480" w:hanging="360"/>
      </w:pPr>
      <w:rPr>
        <w:rFonts w:ascii="Wingdings" w:hAnsi="Wingdings" w:cs="Wingdings" w:hint="default"/>
      </w:rPr>
    </w:lvl>
  </w:abstractNum>
  <w:abstractNum w:abstractNumId="5">
    <w:lvl w:ilvl="0">
      <w:numFmt w:val="bullet"/>
      <w:lvlText w:val=""/>
      <w:lvlJc w:val="start"/>
      <w:pPr>
        <w:tabs>
          <w:tab w:val="num" w:pos="0"/>
        </w:tabs>
        <w:ind w:start="720" w:hanging="360"/>
      </w:pPr>
      <w:rPr>
        <w:rFonts w:ascii="Symbol" w:hAnsi="Symbol" w:cs="Symbol" w:hint="default"/>
      </w:rPr>
    </w:lvl>
    <w:lvl w:ilvl="1">
      <w:start w:val="0"/>
      <w:numFmt w:val="bullet"/>
      <w:lvlText w:val="o"/>
      <w:lvlJc w:val="start"/>
      <w:pPr>
        <w:tabs>
          <w:tab w:val="num" w:pos="0"/>
        </w:tabs>
        <w:ind w:start="1440" w:hanging="360"/>
      </w:pPr>
      <w:rPr>
        <w:rFonts w:ascii="Courier New" w:hAnsi="Courier New" w:cs="Courier New" w:hint="default"/>
      </w:rPr>
    </w:lvl>
    <w:lvl w:ilvl="2">
      <w:start w:val="0"/>
      <w:numFmt w:val="bullet"/>
      <w:lvlText w:val=""/>
      <w:lvlJc w:val="start"/>
      <w:pPr>
        <w:tabs>
          <w:tab w:val="num" w:pos="0"/>
        </w:tabs>
        <w:ind w:start="2160" w:hanging="360"/>
      </w:pPr>
      <w:rPr>
        <w:rFonts w:ascii="Wingdings" w:hAnsi="Wingdings" w:cs="Wingdings" w:hint="default"/>
      </w:rPr>
    </w:lvl>
    <w:lvl w:ilvl="3">
      <w:start w:val="0"/>
      <w:numFmt w:val="bullet"/>
      <w:lvlText w:val=""/>
      <w:lvlJc w:val="start"/>
      <w:pPr>
        <w:tabs>
          <w:tab w:val="num" w:pos="0"/>
        </w:tabs>
        <w:ind w:start="2880" w:hanging="360"/>
      </w:pPr>
      <w:rPr>
        <w:rFonts w:ascii="Symbol" w:hAnsi="Symbol" w:cs="Symbol" w:hint="default"/>
      </w:rPr>
    </w:lvl>
    <w:lvl w:ilvl="4">
      <w:start w:val="0"/>
      <w:numFmt w:val="bullet"/>
      <w:lvlText w:val="o"/>
      <w:lvlJc w:val="start"/>
      <w:pPr>
        <w:tabs>
          <w:tab w:val="num" w:pos="0"/>
        </w:tabs>
        <w:ind w:start="3600" w:hanging="360"/>
      </w:pPr>
      <w:rPr>
        <w:rFonts w:ascii="Courier New" w:hAnsi="Courier New" w:cs="Courier New" w:hint="default"/>
      </w:rPr>
    </w:lvl>
    <w:lvl w:ilvl="5">
      <w:start w:val="0"/>
      <w:numFmt w:val="bullet"/>
      <w:lvlText w:val=""/>
      <w:lvlJc w:val="start"/>
      <w:pPr>
        <w:tabs>
          <w:tab w:val="num" w:pos="0"/>
        </w:tabs>
        <w:ind w:start="4320" w:hanging="360"/>
      </w:pPr>
      <w:rPr>
        <w:rFonts w:ascii="Wingdings" w:hAnsi="Wingdings" w:cs="Wingdings" w:hint="default"/>
      </w:rPr>
    </w:lvl>
    <w:lvl w:ilvl="6">
      <w:start w:val="0"/>
      <w:numFmt w:val="bullet"/>
      <w:lvlText w:val=""/>
      <w:lvlJc w:val="start"/>
      <w:pPr>
        <w:tabs>
          <w:tab w:val="num" w:pos="0"/>
        </w:tabs>
        <w:ind w:start="5040" w:hanging="360"/>
      </w:pPr>
      <w:rPr>
        <w:rFonts w:ascii="Symbol" w:hAnsi="Symbol" w:cs="Symbol" w:hint="default"/>
      </w:rPr>
    </w:lvl>
    <w:lvl w:ilvl="7">
      <w:start w:val="0"/>
      <w:numFmt w:val="bullet"/>
      <w:lvlText w:val="o"/>
      <w:lvlJc w:val="start"/>
      <w:pPr>
        <w:tabs>
          <w:tab w:val="num" w:pos="0"/>
        </w:tabs>
        <w:ind w:start="5760" w:hanging="360"/>
      </w:pPr>
      <w:rPr>
        <w:rFonts w:ascii="Courier New" w:hAnsi="Courier New" w:cs="Courier New" w:hint="default"/>
      </w:rPr>
    </w:lvl>
    <w:lvl w:ilvl="8">
      <w:start w:val="0"/>
      <w:numFmt w:val="bullet"/>
      <w:lvlText w:val=""/>
      <w:lvlJc w:val="start"/>
      <w:pPr>
        <w:tabs>
          <w:tab w:val="num" w:pos="0"/>
        </w:tabs>
        <w:ind w:start="6480" w:hanging="360"/>
      </w:pPr>
      <w:rPr>
        <w:rFonts w:ascii="Wingdings" w:hAnsi="Wingdings" w:cs="Wingdings" w:hint="default"/>
      </w:rPr>
    </w:lvl>
  </w:abstractNum>
  <w:abstractNum w:abstractNumId="6">
    <w:lvl w:ilvl="0">
      <w:numFmt w:val="bullet"/>
      <w:lvlText w:val=""/>
      <w:lvlJc w:val="start"/>
      <w:pPr>
        <w:tabs>
          <w:tab w:val="num" w:pos="0"/>
        </w:tabs>
        <w:ind w:start="720" w:hanging="360"/>
      </w:pPr>
      <w:rPr>
        <w:rFonts w:ascii="Symbol" w:hAnsi="Symbol" w:cs="Symbol" w:hint="default"/>
      </w:rPr>
    </w:lvl>
    <w:lvl w:ilvl="1">
      <w:start w:val="0"/>
      <w:numFmt w:val="bullet"/>
      <w:lvlText w:val="o"/>
      <w:lvlJc w:val="start"/>
      <w:pPr>
        <w:tabs>
          <w:tab w:val="num" w:pos="0"/>
        </w:tabs>
        <w:ind w:start="1440" w:hanging="360"/>
      </w:pPr>
      <w:rPr>
        <w:rFonts w:ascii="Courier New" w:hAnsi="Courier New" w:cs="Courier New" w:hint="default"/>
      </w:rPr>
    </w:lvl>
    <w:lvl w:ilvl="2">
      <w:start w:val="0"/>
      <w:numFmt w:val="bullet"/>
      <w:lvlText w:val=""/>
      <w:lvlJc w:val="start"/>
      <w:pPr>
        <w:tabs>
          <w:tab w:val="num" w:pos="0"/>
        </w:tabs>
        <w:ind w:start="2160" w:hanging="360"/>
      </w:pPr>
      <w:rPr>
        <w:rFonts w:ascii="Wingdings" w:hAnsi="Wingdings" w:cs="Wingdings" w:hint="default"/>
      </w:rPr>
    </w:lvl>
    <w:lvl w:ilvl="3">
      <w:start w:val="0"/>
      <w:numFmt w:val="bullet"/>
      <w:lvlText w:val=""/>
      <w:lvlJc w:val="start"/>
      <w:pPr>
        <w:tabs>
          <w:tab w:val="num" w:pos="0"/>
        </w:tabs>
        <w:ind w:start="2880" w:hanging="360"/>
      </w:pPr>
      <w:rPr>
        <w:rFonts w:ascii="Symbol" w:hAnsi="Symbol" w:cs="Symbol" w:hint="default"/>
      </w:rPr>
    </w:lvl>
    <w:lvl w:ilvl="4">
      <w:start w:val="0"/>
      <w:numFmt w:val="bullet"/>
      <w:lvlText w:val="o"/>
      <w:lvlJc w:val="start"/>
      <w:pPr>
        <w:tabs>
          <w:tab w:val="num" w:pos="0"/>
        </w:tabs>
        <w:ind w:start="3600" w:hanging="360"/>
      </w:pPr>
      <w:rPr>
        <w:rFonts w:ascii="Courier New" w:hAnsi="Courier New" w:cs="Courier New" w:hint="default"/>
      </w:rPr>
    </w:lvl>
    <w:lvl w:ilvl="5">
      <w:start w:val="0"/>
      <w:numFmt w:val="bullet"/>
      <w:lvlText w:val=""/>
      <w:lvlJc w:val="start"/>
      <w:pPr>
        <w:tabs>
          <w:tab w:val="num" w:pos="0"/>
        </w:tabs>
        <w:ind w:start="4320" w:hanging="360"/>
      </w:pPr>
      <w:rPr>
        <w:rFonts w:ascii="Wingdings" w:hAnsi="Wingdings" w:cs="Wingdings" w:hint="default"/>
      </w:rPr>
    </w:lvl>
    <w:lvl w:ilvl="6">
      <w:start w:val="0"/>
      <w:numFmt w:val="bullet"/>
      <w:lvlText w:val=""/>
      <w:lvlJc w:val="start"/>
      <w:pPr>
        <w:tabs>
          <w:tab w:val="num" w:pos="0"/>
        </w:tabs>
        <w:ind w:start="5040" w:hanging="360"/>
      </w:pPr>
      <w:rPr>
        <w:rFonts w:ascii="Symbol" w:hAnsi="Symbol" w:cs="Symbol" w:hint="default"/>
      </w:rPr>
    </w:lvl>
    <w:lvl w:ilvl="7">
      <w:start w:val="0"/>
      <w:numFmt w:val="bullet"/>
      <w:lvlText w:val="o"/>
      <w:lvlJc w:val="start"/>
      <w:pPr>
        <w:tabs>
          <w:tab w:val="num" w:pos="0"/>
        </w:tabs>
        <w:ind w:start="5760" w:hanging="360"/>
      </w:pPr>
      <w:rPr>
        <w:rFonts w:ascii="Courier New" w:hAnsi="Courier New" w:cs="Courier New" w:hint="default"/>
      </w:rPr>
    </w:lvl>
    <w:lvl w:ilvl="8">
      <w:start w:val="0"/>
      <w:numFmt w:val="bullet"/>
      <w:lvlText w:val=""/>
      <w:lvlJc w:val="start"/>
      <w:pPr>
        <w:tabs>
          <w:tab w:val="num" w:pos="0"/>
        </w:tabs>
        <w:ind w:start="6480" w:hanging="360"/>
      </w:pPr>
      <w:rPr>
        <w:rFonts w:ascii="Wingdings" w:hAnsi="Wingdings" w:cs="Wingdings" w:hint="default"/>
      </w:rPr>
    </w:lvl>
  </w:abstractNum>
  <w:abstractNum w:abstractNumId="7">
    <w:lvl w:ilvl="0">
      <w:numFmt w:val="bullet"/>
      <w:lvlText w:val=""/>
      <w:lvlJc w:val="start"/>
      <w:pPr>
        <w:tabs>
          <w:tab w:val="num" w:pos="0"/>
        </w:tabs>
        <w:ind w:start="720" w:hanging="360"/>
      </w:pPr>
      <w:rPr>
        <w:rFonts w:ascii="Symbol" w:hAnsi="Symbol" w:cs="Symbol" w:hint="default"/>
      </w:rPr>
    </w:lvl>
    <w:lvl w:ilvl="1">
      <w:start w:val="0"/>
      <w:numFmt w:val="bullet"/>
      <w:lvlText w:val="o"/>
      <w:lvlJc w:val="start"/>
      <w:pPr>
        <w:tabs>
          <w:tab w:val="num" w:pos="0"/>
        </w:tabs>
        <w:ind w:start="1440" w:hanging="360"/>
      </w:pPr>
      <w:rPr>
        <w:rFonts w:ascii="Courier New" w:hAnsi="Courier New" w:cs="Courier New" w:hint="default"/>
      </w:rPr>
    </w:lvl>
    <w:lvl w:ilvl="2">
      <w:start w:val="0"/>
      <w:numFmt w:val="bullet"/>
      <w:lvlText w:val=""/>
      <w:lvlJc w:val="start"/>
      <w:pPr>
        <w:tabs>
          <w:tab w:val="num" w:pos="0"/>
        </w:tabs>
        <w:ind w:start="2160" w:hanging="360"/>
      </w:pPr>
      <w:rPr>
        <w:rFonts w:ascii="Wingdings" w:hAnsi="Wingdings" w:cs="Wingdings" w:hint="default"/>
      </w:rPr>
    </w:lvl>
    <w:lvl w:ilvl="3">
      <w:start w:val="0"/>
      <w:numFmt w:val="bullet"/>
      <w:lvlText w:val=""/>
      <w:lvlJc w:val="start"/>
      <w:pPr>
        <w:tabs>
          <w:tab w:val="num" w:pos="0"/>
        </w:tabs>
        <w:ind w:start="2880" w:hanging="360"/>
      </w:pPr>
      <w:rPr>
        <w:rFonts w:ascii="Symbol" w:hAnsi="Symbol" w:cs="Symbol" w:hint="default"/>
      </w:rPr>
    </w:lvl>
    <w:lvl w:ilvl="4">
      <w:start w:val="0"/>
      <w:numFmt w:val="bullet"/>
      <w:lvlText w:val="o"/>
      <w:lvlJc w:val="start"/>
      <w:pPr>
        <w:tabs>
          <w:tab w:val="num" w:pos="0"/>
        </w:tabs>
        <w:ind w:start="3600" w:hanging="360"/>
      </w:pPr>
      <w:rPr>
        <w:rFonts w:ascii="Courier New" w:hAnsi="Courier New" w:cs="Courier New" w:hint="default"/>
      </w:rPr>
    </w:lvl>
    <w:lvl w:ilvl="5">
      <w:start w:val="0"/>
      <w:numFmt w:val="bullet"/>
      <w:lvlText w:val=""/>
      <w:lvlJc w:val="start"/>
      <w:pPr>
        <w:tabs>
          <w:tab w:val="num" w:pos="0"/>
        </w:tabs>
        <w:ind w:start="4320" w:hanging="360"/>
      </w:pPr>
      <w:rPr>
        <w:rFonts w:ascii="Wingdings" w:hAnsi="Wingdings" w:cs="Wingdings" w:hint="default"/>
      </w:rPr>
    </w:lvl>
    <w:lvl w:ilvl="6">
      <w:start w:val="0"/>
      <w:numFmt w:val="bullet"/>
      <w:lvlText w:val=""/>
      <w:lvlJc w:val="start"/>
      <w:pPr>
        <w:tabs>
          <w:tab w:val="num" w:pos="0"/>
        </w:tabs>
        <w:ind w:start="5040" w:hanging="360"/>
      </w:pPr>
      <w:rPr>
        <w:rFonts w:ascii="Symbol" w:hAnsi="Symbol" w:cs="Symbol" w:hint="default"/>
      </w:rPr>
    </w:lvl>
    <w:lvl w:ilvl="7">
      <w:start w:val="0"/>
      <w:numFmt w:val="bullet"/>
      <w:lvlText w:val="o"/>
      <w:lvlJc w:val="start"/>
      <w:pPr>
        <w:tabs>
          <w:tab w:val="num" w:pos="0"/>
        </w:tabs>
        <w:ind w:start="5760" w:hanging="360"/>
      </w:pPr>
      <w:rPr>
        <w:rFonts w:ascii="Courier New" w:hAnsi="Courier New" w:cs="Courier New" w:hint="default"/>
      </w:rPr>
    </w:lvl>
    <w:lvl w:ilvl="8">
      <w:start w:val="0"/>
      <w:numFmt w:val="bullet"/>
      <w:lvlText w:val=""/>
      <w:lvlJc w:val="start"/>
      <w:pPr>
        <w:tabs>
          <w:tab w:val="num" w:pos="0"/>
        </w:tabs>
        <w:ind w:start="6480" w:hanging="360"/>
      </w:pPr>
      <w:rPr>
        <w:rFonts w:ascii="Wingdings" w:hAnsi="Wingdings" w:cs="Wingdings" w:hint="default"/>
      </w:rPr>
    </w:lvl>
  </w:abstractNum>
  <w:abstractNum w:abstractNumId="8">
    <w:lvl w:ilvl="0">
      <w:numFmt w:val="bullet"/>
      <w:lvlText w:val=""/>
      <w:lvlJc w:val="start"/>
      <w:pPr>
        <w:tabs>
          <w:tab w:val="num" w:pos="0"/>
        </w:tabs>
        <w:ind w:start="720" w:hanging="360"/>
      </w:pPr>
      <w:rPr>
        <w:rFonts w:ascii="Symbol" w:hAnsi="Symbol" w:cs="Symbol" w:hint="default"/>
      </w:rPr>
    </w:lvl>
    <w:lvl w:ilvl="1">
      <w:start w:val="0"/>
      <w:numFmt w:val="bullet"/>
      <w:lvlText w:val="o"/>
      <w:lvlJc w:val="start"/>
      <w:pPr>
        <w:tabs>
          <w:tab w:val="num" w:pos="0"/>
        </w:tabs>
        <w:ind w:start="1440" w:hanging="360"/>
      </w:pPr>
      <w:rPr>
        <w:rFonts w:ascii="Courier New" w:hAnsi="Courier New" w:cs="Courier New" w:hint="default"/>
      </w:rPr>
    </w:lvl>
    <w:lvl w:ilvl="2">
      <w:start w:val="0"/>
      <w:numFmt w:val="bullet"/>
      <w:lvlText w:val=""/>
      <w:lvlJc w:val="start"/>
      <w:pPr>
        <w:tabs>
          <w:tab w:val="num" w:pos="0"/>
        </w:tabs>
        <w:ind w:start="2160" w:hanging="360"/>
      </w:pPr>
      <w:rPr>
        <w:rFonts w:ascii="Wingdings" w:hAnsi="Wingdings" w:cs="Wingdings" w:hint="default"/>
      </w:rPr>
    </w:lvl>
    <w:lvl w:ilvl="3">
      <w:start w:val="0"/>
      <w:numFmt w:val="bullet"/>
      <w:lvlText w:val=""/>
      <w:lvlJc w:val="start"/>
      <w:pPr>
        <w:tabs>
          <w:tab w:val="num" w:pos="0"/>
        </w:tabs>
        <w:ind w:start="2880" w:hanging="360"/>
      </w:pPr>
      <w:rPr>
        <w:rFonts w:ascii="Symbol" w:hAnsi="Symbol" w:cs="Symbol" w:hint="default"/>
      </w:rPr>
    </w:lvl>
    <w:lvl w:ilvl="4">
      <w:start w:val="0"/>
      <w:numFmt w:val="bullet"/>
      <w:lvlText w:val="o"/>
      <w:lvlJc w:val="start"/>
      <w:pPr>
        <w:tabs>
          <w:tab w:val="num" w:pos="0"/>
        </w:tabs>
        <w:ind w:start="3600" w:hanging="360"/>
      </w:pPr>
      <w:rPr>
        <w:rFonts w:ascii="Courier New" w:hAnsi="Courier New" w:cs="Courier New" w:hint="default"/>
      </w:rPr>
    </w:lvl>
    <w:lvl w:ilvl="5">
      <w:start w:val="0"/>
      <w:numFmt w:val="bullet"/>
      <w:lvlText w:val=""/>
      <w:lvlJc w:val="start"/>
      <w:pPr>
        <w:tabs>
          <w:tab w:val="num" w:pos="0"/>
        </w:tabs>
        <w:ind w:start="4320" w:hanging="360"/>
      </w:pPr>
      <w:rPr>
        <w:rFonts w:ascii="Wingdings" w:hAnsi="Wingdings" w:cs="Wingdings" w:hint="default"/>
      </w:rPr>
    </w:lvl>
    <w:lvl w:ilvl="6">
      <w:start w:val="0"/>
      <w:numFmt w:val="bullet"/>
      <w:lvlText w:val=""/>
      <w:lvlJc w:val="start"/>
      <w:pPr>
        <w:tabs>
          <w:tab w:val="num" w:pos="0"/>
        </w:tabs>
        <w:ind w:start="5040" w:hanging="360"/>
      </w:pPr>
      <w:rPr>
        <w:rFonts w:ascii="Symbol" w:hAnsi="Symbol" w:cs="Symbol" w:hint="default"/>
      </w:rPr>
    </w:lvl>
    <w:lvl w:ilvl="7">
      <w:start w:val="0"/>
      <w:numFmt w:val="bullet"/>
      <w:lvlText w:val="o"/>
      <w:lvlJc w:val="start"/>
      <w:pPr>
        <w:tabs>
          <w:tab w:val="num" w:pos="0"/>
        </w:tabs>
        <w:ind w:start="5760" w:hanging="360"/>
      </w:pPr>
      <w:rPr>
        <w:rFonts w:ascii="Courier New" w:hAnsi="Courier New" w:cs="Courier New" w:hint="default"/>
      </w:rPr>
    </w:lvl>
    <w:lvl w:ilvl="8">
      <w:start w:val="0"/>
      <w:numFmt w:val="bullet"/>
      <w:lvlText w:val=""/>
      <w:lvlJc w:val="start"/>
      <w:pPr>
        <w:tabs>
          <w:tab w:val="num" w:pos="0"/>
        </w:tabs>
        <w:ind w:start="6480" w:hanging="360"/>
      </w:pPr>
      <w:rPr>
        <w:rFonts w:ascii="Wingdings" w:hAnsi="Wingdings" w:cs="Wingdings" w:hint="default"/>
      </w:rPr>
    </w:lvl>
  </w:abstractNum>
  <w:abstractNum w:abstractNumId="9">
    <w:lvl w:ilvl="0">
      <w:numFmt w:val="bullet"/>
      <w:lvlText w:val=""/>
      <w:lvlJc w:val="start"/>
      <w:pPr>
        <w:tabs>
          <w:tab w:val="num" w:pos="0"/>
        </w:tabs>
        <w:ind w:start="720" w:hanging="360"/>
      </w:pPr>
      <w:rPr>
        <w:rFonts w:ascii="Symbol" w:hAnsi="Symbol" w:cs="Symbol" w:hint="default"/>
      </w:rPr>
    </w:lvl>
    <w:lvl w:ilvl="1">
      <w:start w:val="0"/>
      <w:numFmt w:val="bullet"/>
      <w:lvlText w:val="o"/>
      <w:lvlJc w:val="start"/>
      <w:pPr>
        <w:tabs>
          <w:tab w:val="num" w:pos="0"/>
        </w:tabs>
        <w:ind w:start="1440" w:hanging="360"/>
      </w:pPr>
      <w:rPr>
        <w:rFonts w:ascii="Courier New" w:hAnsi="Courier New" w:cs="Courier New" w:hint="default"/>
      </w:rPr>
    </w:lvl>
    <w:lvl w:ilvl="2">
      <w:start w:val="0"/>
      <w:numFmt w:val="bullet"/>
      <w:lvlText w:val=""/>
      <w:lvlJc w:val="start"/>
      <w:pPr>
        <w:tabs>
          <w:tab w:val="num" w:pos="0"/>
        </w:tabs>
        <w:ind w:start="2160" w:hanging="360"/>
      </w:pPr>
      <w:rPr>
        <w:rFonts w:ascii="Wingdings" w:hAnsi="Wingdings" w:cs="Wingdings" w:hint="default"/>
      </w:rPr>
    </w:lvl>
    <w:lvl w:ilvl="3">
      <w:start w:val="0"/>
      <w:numFmt w:val="bullet"/>
      <w:lvlText w:val=""/>
      <w:lvlJc w:val="start"/>
      <w:pPr>
        <w:tabs>
          <w:tab w:val="num" w:pos="0"/>
        </w:tabs>
        <w:ind w:start="2880" w:hanging="360"/>
      </w:pPr>
      <w:rPr>
        <w:rFonts w:ascii="Symbol" w:hAnsi="Symbol" w:cs="Symbol" w:hint="default"/>
      </w:rPr>
    </w:lvl>
    <w:lvl w:ilvl="4">
      <w:start w:val="0"/>
      <w:numFmt w:val="bullet"/>
      <w:lvlText w:val="o"/>
      <w:lvlJc w:val="start"/>
      <w:pPr>
        <w:tabs>
          <w:tab w:val="num" w:pos="0"/>
        </w:tabs>
        <w:ind w:start="3600" w:hanging="360"/>
      </w:pPr>
      <w:rPr>
        <w:rFonts w:ascii="Courier New" w:hAnsi="Courier New" w:cs="Courier New" w:hint="default"/>
      </w:rPr>
    </w:lvl>
    <w:lvl w:ilvl="5">
      <w:start w:val="0"/>
      <w:numFmt w:val="bullet"/>
      <w:lvlText w:val=""/>
      <w:lvlJc w:val="start"/>
      <w:pPr>
        <w:tabs>
          <w:tab w:val="num" w:pos="0"/>
        </w:tabs>
        <w:ind w:start="4320" w:hanging="360"/>
      </w:pPr>
      <w:rPr>
        <w:rFonts w:ascii="Wingdings" w:hAnsi="Wingdings" w:cs="Wingdings" w:hint="default"/>
      </w:rPr>
    </w:lvl>
    <w:lvl w:ilvl="6">
      <w:start w:val="0"/>
      <w:numFmt w:val="bullet"/>
      <w:lvlText w:val=""/>
      <w:lvlJc w:val="start"/>
      <w:pPr>
        <w:tabs>
          <w:tab w:val="num" w:pos="0"/>
        </w:tabs>
        <w:ind w:start="5040" w:hanging="360"/>
      </w:pPr>
      <w:rPr>
        <w:rFonts w:ascii="Symbol" w:hAnsi="Symbol" w:cs="Symbol" w:hint="default"/>
      </w:rPr>
    </w:lvl>
    <w:lvl w:ilvl="7">
      <w:start w:val="0"/>
      <w:numFmt w:val="bullet"/>
      <w:lvlText w:val="o"/>
      <w:lvlJc w:val="start"/>
      <w:pPr>
        <w:tabs>
          <w:tab w:val="num" w:pos="0"/>
        </w:tabs>
        <w:ind w:start="5760" w:hanging="360"/>
      </w:pPr>
      <w:rPr>
        <w:rFonts w:ascii="Courier New" w:hAnsi="Courier New" w:cs="Courier New" w:hint="default"/>
      </w:rPr>
    </w:lvl>
    <w:lvl w:ilvl="8">
      <w:start w:val="0"/>
      <w:numFmt w:val="bullet"/>
      <w:lvlText w:val=""/>
      <w:lvlJc w:val="start"/>
      <w:pPr>
        <w:tabs>
          <w:tab w:val="num" w:pos="0"/>
        </w:tabs>
        <w:ind w:start="6480" w:hanging="360"/>
      </w:pPr>
      <w:rPr>
        <w:rFonts w:ascii="Wingdings" w:hAnsi="Wingdings" w:cs="Wingdings" w:hint="default"/>
      </w:rPr>
    </w:lvl>
  </w:abstractNum>
  <w:abstractNum w:abstractNumId="10">
    <w:lvl w:ilvl="0">
      <w:numFmt w:val="bullet"/>
      <w:lvlText w:val=""/>
      <w:lvlJc w:val="start"/>
      <w:pPr>
        <w:tabs>
          <w:tab w:val="num" w:pos="0"/>
        </w:tabs>
        <w:ind w:start="720" w:hanging="360"/>
      </w:pPr>
      <w:rPr>
        <w:rFonts w:ascii="Symbol" w:hAnsi="Symbol" w:cs="Symbol" w:hint="default"/>
      </w:rPr>
    </w:lvl>
    <w:lvl w:ilvl="1">
      <w:start w:val="0"/>
      <w:numFmt w:val="bullet"/>
      <w:lvlText w:val="o"/>
      <w:lvlJc w:val="start"/>
      <w:pPr>
        <w:tabs>
          <w:tab w:val="num" w:pos="0"/>
        </w:tabs>
        <w:ind w:start="1440" w:hanging="360"/>
      </w:pPr>
      <w:rPr>
        <w:rFonts w:ascii="Courier New" w:hAnsi="Courier New" w:cs="Courier New" w:hint="default"/>
      </w:rPr>
    </w:lvl>
    <w:lvl w:ilvl="2">
      <w:start w:val="0"/>
      <w:numFmt w:val="bullet"/>
      <w:lvlText w:val=""/>
      <w:lvlJc w:val="start"/>
      <w:pPr>
        <w:tabs>
          <w:tab w:val="num" w:pos="0"/>
        </w:tabs>
        <w:ind w:start="2160" w:hanging="360"/>
      </w:pPr>
      <w:rPr>
        <w:rFonts w:ascii="Wingdings" w:hAnsi="Wingdings" w:cs="Wingdings" w:hint="default"/>
      </w:rPr>
    </w:lvl>
    <w:lvl w:ilvl="3">
      <w:start w:val="0"/>
      <w:numFmt w:val="bullet"/>
      <w:lvlText w:val=""/>
      <w:lvlJc w:val="start"/>
      <w:pPr>
        <w:tabs>
          <w:tab w:val="num" w:pos="0"/>
        </w:tabs>
        <w:ind w:start="2880" w:hanging="360"/>
      </w:pPr>
      <w:rPr>
        <w:rFonts w:ascii="Symbol" w:hAnsi="Symbol" w:cs="Symbol" w:hint="default"/>
      </w:rPr>
    </w:lvl>
    <w:lvl w:ilvl="4">
      <w:start w:val="0"/>
      <w:numFmt w:val="bullet"/>
      <w:lvlText w:val="o"/>
      <w:lvlJc w:val="start"/>
      <w:pPr>
        <w:tabs>
          <w:tab w:val="num" w:pos="0"/>
        </w:tabs>
        <w:ind w:start="3600" w:hanging="360"/>
      </w:pPr>
      <w:rPr>
        <w:rFonts w:ascii="Courier New" w:hAnsi="Courier New" w:cs="Courier New" w:hint="default"/>
      </w:rPr>
    </w:lvl>
    <w:lvl w:ilvl="5">
      <w:start w:val="0"/>
      <w:numFmt w:val="bullet"/>
      <w:lvlText w:val=""/>
      <w:lvlJc w:val="start"/>
      <w:pPr>
        <w:tabs>
          <w:tab w:val="num" w:pos="0"/>
        </w:tabs>
        <w:ind w:start="4320" w:hanging="360"/>
      </w:pPr>
      <w:rPr>
        <w:rFonts w:ascii="Wingdings" w:hAnsi="Wingdings" w:cs="Wingdings" w:hint="default"/>
      </w:rPr>
    </w:lvl>
    <w:lvl w:ilvl="6">
      <w:start w:val="0"/>
      <w:numFmt w:val="bullet"/>
      <w:lvlText w:val=""/>
      <w:lvlJc w:val="start"/>
      <w:pPr>
        <w:tabs>
          <w:tab w:val="num" w:pos="0"/>
        </w:tabs>
        <w:ind w:start="5040" w:hanging="360"/>
      </w:pPr>
      <w:rPr>
        <w:rFonts w:ascii="Symbol" w:hAnsi="Symbol" w:cs="Symbol" w:hint="default"/>
      </w:rPr>
    </w:lvl>
    <w:lvl w:ilvl="7">
      <w:start w:val="0"/>
      <w:numFmt w:val="bullet"/>
      <w:lvlText w:val="o"/>
      <w:lvlJc w:val="start"/>
      <w:pPr>
        <w:tabs>
          <w:tab w:val="num" w:pos="0"/>
        </w:tabs>
        <w:ind w:start="5760" w:hanging="360"/>
      </w:pPr>
      <w:rPr>
        <w:rFonts w:ascii="Courier New" w:hAnsi="Courier New" w:cs="Courier New" w:hint="default"/>
      </w:rPr>
    </w:lvl>
    <w:lvl w:ilvl="8">
      <w:start w:val="0"/>
      <w:numFmt w:val="bullet"/>
      <w:lvlText w:val=""/>
      <w:lvlJc w:val="start"/>
      <w:pPr>
        <w:tabs>
          <w:tab w:val="num" w:pos="0"/>
        </w:tabs>
        <w:ind w:start="6480" w:hanging="360"/>
      </w:pPr>
      <w:rPr>
        <w:rFonts w:ascii="Wingdings" w:hAnsi="Wingdings" w:cs="Wingdings" w:hint="default"/>
      </w:rPr>
    </w:lvl>
  </w:abstractNum>
  <w:abstractNum w:abstractNumId="11">
    <w:lvl w:ilvl="0">
      <w:numFmt w:val="bullet"/>
      <w:lvlText w:val=""/>
      <w:lvlJc w:val="start"/>
      <w:pPr>
        <w:tabs>
          <w:tab w:val="num" w:pos="0"/>
        </w:tabs>
        <w:ind w:start="720" w:hanging="360"/>
      </w:pPr>
      <w:rPr>
        <w:rFonts w:ascii="Symbol" w:hAnsi="Symbol" w:cs="Symbol" w:hint="default"/>
      </w:rPr>
    </w:lvl>
    <w:lvl w:ilvl="1">
      <w:start w:val="0"/>
      <w:numFmt w:val="bullet"/>
      <w:lvlText w:val="o"/>
      <w:lvlJc w:val="start"/>
      <w:pPr>
        <w:tabs>
          <w:tab w:val="num" w:pos="0"/>
        </w:tabs>
        <w:ind w:start="1440" w:hanging="360"/>
      </w:pPr>
      <w:rPr>
        <w:rFonts w:ascii="Courier New" w:hAnsi="Courier New" w:cs="Courier New" w:hint="default"/>
      </w:rPr>
    </w:lvl>
    <w:lvl w:ilvl="2">
      <w:start w:val="0"/>
      <w:numFmt w:val="bullet"/>
      <w:lvlText w:val=""/>
      <w:lvlJc w:val="start"/>
      <w:pPr>
        <w:tabs>
          <w:tab w:val="num" w:pos="0"/>
        </w:tabs>
        <w:ind w:start="2160" w:hanging="360"/>
      </w:pPr>
      <w:rPr>
        <w:rFonts w:ascii="Wingdings" w:hAnsi="Wingdings" w:cs="Wingdings" w:hint="default"/>
      </w:rPr>
    </w:lvl>
    <w:lvl w:ilvl="3">
      <w:start w:val="0"/>
      <w:numFmt w:val="bullet"/>
      <w:lvlText w:val=""/>
      <w:lvlJc w:val="start"/>
      <w:pPr>
        <w:tabs>
          <w:tab w:val="num" w:pos="0"/>
        </w:tabs>
        <w:ind w:start="2880" w:hanging="360"/>
      </w:pPr>
      <w:rPr>
        <w:rFonts w:ascii="Symbol" w:hAnsi="Symbol" w:cs="Symbol" w:hint="default"/>
      </w:rPr>
    </w:lvl>
    <w:lvl w:ilvl="4">
      <w:start w:val="0"/>
      <w:numFmt w:val="bullet"/>
      <w:lvlText w:val="o"/>
      <w:lvlJc w:val="start"/>
      <w:pPr>
        <w:tabs>
          <w:tab w:val="num" w:pos="0"/>
        </w:tabs>
        <w:ind w:start="3600" w:hanging="360"/>
      </w:pPr>
      <w:rPr>
        <w:rFonts w:ascii="Courier New" w:hAnsi="Courier New" w:cs="Courier New" w:hint="default"/>
      </w:rPr>
    </w:lvl>
    <w:lvl w:ilvl="5">
      <w:start w:val="0"/>
      <w:numFmt w:val="bullet"/>
      <w:lvlText w:val=""/>
      <w:lvlJc w:val="start"/>
      <w:pPr>
        <w:tabs>
          <w:tab w:val="num" w:pos="0"/>
        </w:tabs>
        <w:ind w:start="4320" w:hanging="360"/>
      </w:pPr>
      <w:rPr>
        <w:rFonts w:ascii="Wingdings" w:hAnsi="Wingdings" w:cs="Wingdings" w:hint="default"/>
      </w:rPr>
    </w:lvl>
    <w:lvl w:ilvl="6">
      <w:start w:val="0"/>
      <w:numFmt w:val="bullet"/>
      <w:lvlText w:val=""/>
      <w:lvlJc w:val="start"/>
      <w:pPr>
        <w:tabs>
          <w:tab w:val="num" w:pos="0"/>
        </w:tabs>
        <w:ind w:start="5040" w:hanging="360"/>
      </w:pPr>
      <w:rPr>
        <w:rFonts w:ascii="Symbol" w:hAnsi="Symbol" w:cs="Symbol" w:hint="default"/>
      </w:rPr>
    </w:lvl>
    <w:lvl w:ilvl="7">
      <w:start w:val="0"/>
      <w:numFmt w:val="bullet"/>
      <w:lvlText w:val="o"/>
      <w:lvlJc w:val="start"/>
      <w:pPr>
        <w:tabs>
          <w:tab w:val="num" w:pos="0"/>
        </w:tabs>
        <w:ind w:start="5760" w:hanging="360"/>
      </w:pPr>
      <w:rPr>
        <w:rFonts w:ascii="Courier New" w:hAnsi="Courier New" w:cs="Courier New" w:hint="default"/>
      </w:rPr>
    </w:lvl>
    <w:lvl w:ilvl="8">
      <w:start w:val="0"/>
      <w:numFmt w:val="bullet"/>
      <w:lvlText w:val=""/>
      <w:lvlJc w:val="start"/>
      <w:pPr>
        <w:tabs>
          <w:tab w:val="num" w:pos="0"/>
        </w:tabs>
        <w:ind w:start="6480" w:hanging="360"/>
      </w:pPr>
      <w:rPr>
        <w:rFonts w:ascii="Wingdings" w:hAnsi="Wingdings" w:cs="Wingdings" w:hint="default"/>
      </w:rPr>
    </w:lvl>
  </w:abstractNum>
  <w:abstractNum w:abstractNumId="12">
    <w:lvl w:ilvl="0">
      <w:numFmt w:val="bullet"/>
      <w:lvlText w:val=""/>
      <w:lvlJc w:val="start"/>
      <w:pPr>
        <w:tabs>
          <w:tab w:val="num" w:pos="0"/>
        </w:tabs>
        <w:ind w:start="720" w:hanging="360"/>
      </w:pPr>
      <w:rPr>
        <w:rFonts w:ascii="Symbol" w:hAnsi="Symbol" w:cs="Symbol" w:hint="default"/>
      </w:rPr>
    </w:lvl>
    <w:lvl w:ilvl="1">
      <w:start w:val="0"/>
      <w:numFmt w:val="bullet"/>
      <w:lvlText w:val="o"/>
      <w:lvlJc w:val="start"/>
      <w:pPr>
        <w:tabs>
          <w:tab w:val="num" w:pos="0"/>
        </w:tabs>
        <w:ind w:start="1440" w:hanging="360"/>
      </w:pPr>
      <w:rPr>
        <w:rFonts w:ascii="Courier New" w:hAnsi="Courier New" w:cs="Courier New" w:hint="default"/>
      </w:rPr>
    </w:lvl>
    <w:lvl w:ilvl="2">
      <w:start w:val="0"/>
      <w:numFmt w:val="bullet"/>
      <w:lvlText w:val=""/>
      <w:lvlJc w:val="start"/>
      <w:pPr>
        <w:tabs>
          <w:tab w:val="num" w:pos="0"/>
        </w:tabs>
        <w:ind w:start="2160" w:hanging="360"/>
      </w:pPr>
      <w:rPr>
        <w:rFonts w:ascii="Wingdings" w:hAnsi="Wingdings" w:cs="Wingdings" w:hint="default"/>
      </w:rPr>
    </w:lvl>
    <w:lvl w:ilvl="3">
      <w:start w:val="0"/>
      <w:numFmt w:val="bullet"/>
      <w:lvlText w:val=""/>
      <w:lvlJc w:val="start"/>
      <w:pPr>
        <w:tabs>
          <w:tab w:val="num" w:pos="0"/>
        </w:tabs>
        <w:ind w:start="2880" w:hanging="360"/>
      </w:pPr>
      <w:rPr>
        <w:rFonts w:ascii="Symbol" w:hAnsi="Symbol" w:cs="Symbol" w:hint="default"/>
      </w:rPr>
    </w:lvl>
    <w:lvl w:ilvl="4">
      <w:start w:val="0"/>
      <w:numFmt w:val="bullet"/>
      <w:lvlText w:val="o"/>
      <w:lvlJc w:val="start"/>
      <w:pPr>
        <w:tabs>
          <w:tab w:val="num" w:pos="0"/>
        </w:tabs>
        <w:ind w:start="3600" w:hanging="360"/>
      </w:pPr>
      <w:rPr>
        <w:rFonts w:ascii="Courier New" w:hAnsi="Courier New" w:cs="Courier New" w:hint="default"/>
      </w:rPr>
    </w:lvl>
    <w:lvl w:ilvl="5">
      <w:start w:val="0"/>
      <w:numFmt w:val="bullet"/>
      <w:lvlText w:val=""/>
      <w:lvlJc w:val="start"/>
      <w:pPr>
        <w:tabs>
          <w:tab w:val="num" w:pos="0"/>
        </w:tabs>
        <w:ind w:start="4320" w:hanging="360"/>
      </w:pPr>
      <w:rPr>
        <w:rFonts w:ascii="Wingdings" w:hAnsi="Wingdings" w:cs="Wingdings" w:hint="default"/>
      </w:rPr>
    </w:lvl>
    <w:lvl w:ilvl="6">
      <w:start w:val="0"/>
      <w:numFmt w:val="bullet"/>
      <w:lvlText w:val=""/>
      <w:lvlJc w:val="start"/>
      <w:pPr>
        <w:tabs>
          <w:tab w:val="num" w:pos="0"/>
        </w:tabs>
        <w:ind w:start="5040" w:hanging="360"/>
      </w:pPr>
      <w:rPr>
        <w:rFonts w:ascii="Symbol" w:hAnsi="Symbol" w:cs="Symbol" w:hint="default"/>
      </w:rPr>
    </w:lvl>
    <w:lvl w:ilvl="7">
      <w:start w:val="0"/>
      <w:numFmt w:val="bullet"/>
      <w:lvlText w:val="o"/>
      <w:lvlJc w:val="start"/>
      <w:pPr>
        <w:tabs>
          <w:tab w:val="num" w:pos="0"/>
        </w:tabs>
        <w:ind w:start="5760" w:hanging="360"/>
      </w:pPr>
      <w:rPr>
        <w:rFonts w:ascii="Courier New" w:hAnsi="Courier New" w:cs="Courier New" w:hint="default"/>
      </w:rPr>
    </w:lvl>
    <w:lvl w:ilvl="8">
      <w:start w:val="0"/>
      <w:numFmt w:val="bullet"/>
      <w:lvlText w:val=""/>
      <w:lvlJc w:val="start"/>
      <w:pPr>
        <w:tabs>
          <w:tab w:val="num" w:pos="0"/>
        </w:tabs>
        <w:ind w:start="6480" w:hanging="360"/>
      </w:pPr>
      <w:rPr>
        <w:rFonts w:ascii="Wingdings" w:hAnsi="Wingdings" w:cs="Wingdings" w:hint="default"/>
      </w:rPr>
    </w:lvl>
  </w:abstractNum>
  <w:abstractNum w:abstractNumId="13">
    <w:lvl w:ilvl="0">
      <w:numFmt w:val="bullet"/>
      <w:lvlText w:val=""/>
      <w:lvlJc w:val="start"/>
      <w:pPr>
        <w:tabs>
          <w:tab w:val="num" w:pos="0"/>
        </w:tabs>
        <w:ind w:start="720" w:hanging="360"/>
      </w:pPr>
      <w:rPr>
        <w:rFonts w:ascii="Symbol" w:hAnsi="Symbol" w:cs="Symbol" w:hint="default"/>
      </w:rPr>
    </w:lvl>
    <w:lvl w:ilvl="1">
      <w:start w:val="0"/>
      <w:numFmt w:val="bullet"/>
      <w:lvlText w:val="o"/>
      <w:lvlJc w:val="start"/>
      <w:pPr>
        <w:tabs>
          <w:tab w:val="num" w:pos="0"/>
        </w:tabs>
        <w:ind w:start="1440" w:hanging="360"/>
      </w:pPr>
      <w:rPr>
        <w:rFonts w:ascii="Courier New" w:hAnsi="Courier New" w:cs="Courier New" w:hint="default"/>
      </w:rPr>
    </w:lvl>
    <w:lvl w:ilvl="2">
      <w:start w:val="0"/>
      <w:numFmt w:val="bullet"/>
      <w:lvlText w:val=""/>
      <w:lvlJc w:val="start"/>
      <w:pPr>
        <w:tabs>
          <w:tab w:val="num" w:pos="0"/>
        </w:tabs>
        <w:ind w:start="2160" w:hanging="360"/>
      </w:pPr>
      <w:rPr>
        <w:rFonts w:ascii="Wingdings" w:hAnsi="Wingdings" w:cs="Wingdings" w:hint="default"/>
      </w:rPr>
    </w:lvl>
    <w:lvl w:ilvl="3">
      <w:start w:val="0"/>
      <w:numFmt w:val="bullet"/>
      <w:lvlText w:val=""/>
      <w:lvlJc w:val="start"/>
      <w:pPr>
        <w:tabs>
          <w:tab w:val="num" w:pos="0"/>
        </w:tabs>
        <w:ind w:start="2880" w:hanging="360"/>
      </w:pPr>
      <w:rPr>
        <w:rFonts w:ascii="Symbol" w:hAnsi="Symbol" w:cs="Symbol" w:hint="default"/>
      </w:rPr>
    </w:lvl>
    <w:lvl w:ilvl="4">
      <w:start w:val="0"/>
      <w:numFmt w:val="bullet"/>
      <w:lvlText w:val="o"/>
      <w:lvlJc w:val="start"/>
      <w:pPr>
        <w:tabs>
          <w:tab w:val="num" w:pos="0"/>
        </w:tabs>
        <w:ind w:start="3600" w:hanging="360"/>
      </w:pPr>
      <w:rPr>
        <w:rFonts w:ascii="Courier New" w:hAnsi="Courier New" w:cs="Courier New" w:hint="default"/>
      </w:rPr>
    </w:lvl>
    <w:lvl w:ilvl="5">
      <w:start w:val="0"/>
      <w:numFmt w:val="bullet"/>
      <w:lvlText w:val=""/>
      <w:lvlJc w:val="start"/>
      <w:pPr>
        <w:tabs>
          <w:tab w:val="num" w:pos="0"/>
        </w:tabs>
        <w:ind w:start="4320" w:hanging="360"/>
      </w:pPr>
      <w:rPr>
        <w:rFonts w:ascii="Wingdings" w:hAnsi="Wingdings" w:cs="Wingdings" w:hint="default"/>
      </w:rPr>
    </w:lvl>
    <w:lvl w:ilvl="6">
      <w:start w:val="0"/>
      <w:numFmt w:val="bullet"/>
      <w:lvlText w:val=""/>
      <w:lvlJc w:val="start"/>
      <w:pPr>
        <w:tabs>
          <w:tab w:val="num" w:pos="0"/>
        </w:tabs>
        <w:ind w:start="5040" w:hanging="360"/>
      </w:pPr>
      <w:rPr>
        <w:rFonts w:ascii="Symbol" w:hAnsi="Symbol" w:cs="Symbol" w:hint="default"/>
      </w:rPr>
    </w:lvl>
    <w:lvl w:ilvl="7">
      <w:start w:val="0"/>
      <w:numFmt w:val="bullet"/>
      <w:lvlText w:val="o"/>
      <w:lvlJc w:val="start"/>
      <w:pPr>
        <w:tabs>
          <w:tab w:val="num" w:pos="0"/>
        </w:tabs>
        <w:ind w:start="5760" w:hanging="360"/>
      </w:pPr>
      <w:rPr>
        <w:rFonts w:ascii="Courier New" w:hAnsi="Courier New" w:cs="Courier New" w:hint="default"/>
      </w:rPr>
    </w:lvl>
    <w:lvl w:ilvl="8">
      <w:start w:val="0"/>
      <w:numFmt w:val="bullet"/>
      <w:lvlText w:val=""/>
      <w:lvlJc w:val="start"/>
      <w:pPr>
        <w:tabs>
          <w:tab w:val="num" w:pos="0"/>
        </w:tabs>
        <w:ind w:start="6480" w:hanging="360"/>
      </w:pPr>
      <w:rPr>
        <w:rFonts w:ascii="Wingdings" w:hAnsi="Wingdings" w:cs="Wingdings" w:hint="default"/>
      </w:rPr>
    </w:lvl>
  </w:abstractNum>
  <w:abstractNum w:abstractNumId="14">
    <w:lvl w:ilvl="0">
      <w:numFmt w:val="bullet"/>
      <w:lvlText w:val=""/>
      <w:lvlJc w:val="start"/>
      <w:pPr>
        <w:tabs>
          <w:tab w:val="num" w:pos="0"/>
        </w:tabs>
        <w:ind w:start="720" w:hanging="360"/>
      </w:pPr>
      <w:rPr>
        <w:rFonts w:ascii="Symbol" w:hAnsi="Symbol" w:cs="Symbol" w:hint="default"/>
      </w:rPr>
    </w:lvl>
    <w:lvl w:ilvl="1">
      <w:start w:val="0"/>
      <w:numFmt w:val="bullet"/>
      <w:lvlText w:val="o"/>
      <w:lvlJc w:val="start"/>
      <w:pPr>
        <w:tabs>
          <w:tab w:val="num" w:pos="0"/>
        </w:tabs>
        <w:ind w:start="1440" w:hanging="360"/>
      </w:pPr>
      <w:rPr>
        <w:rFonts w:ascii="Courier New" w:hAnsi="Courier New" w:cs="Courier New" w:hint="default"/>
      </w:rPr>
    </w:lvl>
    <w:lvl w:ilvl="2">
      <w:start w:val="0"/>
      <w:numFmt w:val="bullet"/>
      <w:lvlText w:val=""/>
      <w:lvlJc w:val="start"/>
      <w:pPr>
        <w:tabs>
          <w:tab w:val="num" w:pos="0"/>
        </w:tabs>
        <w:ind w:start="2160" w:hanging="360"/>
      </w:pPr>
      <w:rPr>
        <w:rFonts w:ascii="Wingdings" w:hAnsi="Wingdings" w:cs="Wingdings" w:hint="default"/>
      </w:rPr>
    </w:lvl>
    <w:lvl w:ilvl="3">
      <w:start w:val="0"/>
      <w:numFmt w:val="bullet"/>
      <w:lvlText w:val=""/>
      <w:lvlJc w:val="start"/>
      <w:pPr>
        <w:tabs>
          <w:tab w:val="num" w:pos="0"/>
        </w:tabs>
        <w:ind w:start="2880" w:hanging="360"/>
      </w:pPr>
      <w:rPr>
        <w:rFonts w:ascii="Symbol" w:hAnsi="Symbol" w:cs="Symbol" w:hint="default"/>
      </w:rPr>
    </w:lvl>
    <w:lvl w:ilvl="4">
      <w:start w:val="0"/>
      <w:numFmt w:val="bullet"/>
      <w:lvlText w:val="o"/>
      <w:lvlJc w:val="start"/>
      <w:pPr>
        <w:tabs>
          <w:tab w:val="num" w:pos="0"/>
        </w:tabs>
        <w:ind w:start="3600" w:hanging="360"/>
      </w:pPr>
      <w:rPr>
        <w:rFonts w:ascii="Courier New" w:hAnsi="Courier New" w:cs="Courier New" w:hint="default"/>
      </w:rPr>
    </w:lvl>
    <w:lvl w:ilvl="5">
      <w:start w:val="0"/>
      <w:numFmt w:val="bullet"/>
      <w:lvlText w:val=""/>
      <w:lvlJc w:val="start"/>
      <w:pPr>
        <w:tabs>
          <w:tab w:val="num" w:pos="0"/>
        </w:tabs>
        <w:ind w:start="4320" w:hanging="360"/>
      </w:pPr>
      <w:rPr>
        <w:rFonts w:ascii="Wingdings" w:hAnsi="Wingdings" w:cs="Wingdings" w:hint="default"/>
      </w:rPr>
    </w:lvl>
    <w:lvl w:ilvl="6">
      <w:start w:val="0"/>
      <w:numFmt w:val="bullet"/>
      <w:lvlText w:val=""/>
      <w:lvlJc w:val="start"/>
      <w:pPr>
        <w:tabs>
          <w:tab w:val="num" w:pos="0"/>
        </w:tabs>
        <w:ind w:start="5040" w:hanging="360"/>
      </w:pPr>
      <w:rPr>
        <w:rFonts w:ascii="Symbol" w:hAnsi="Symbol" w:cs="Symbol" w:hint="default"/>
      </w:rPr>
    </w:lvl>
    <w:lvl w:ilvl="7">
      <w:start w:val="0"/>
      <w:numFmt w:val="bullet"/>
      <w:lvlText w:val="o"/>
      <w:lvlJc w:val="start"/>
      <w:pPr>
        <w:tabs>
          <w:tab w:val="num" w:pos="0"/>
        </w:tabs>
        <w:ind w:start="5760" w:hanging="360"/>
      </w:pPr>
      <w:rPr>
        <w:rFonts w:ascii="Courier New" w:hAnsi="Courier New" w:cs="Courier New" w:hint="default"/>
      </w:rPr>
    </w:lvl>
    <w:lvl w:ilvl="8">
      <w:start w:val="0"/>
      <w:numFmt w:val="bullet"/>
      <w:lvlText w:val=""/>
      <w:lvlJc w:val="start"/>
      <w:pPr>
        <w:tabs>
          <w:tab w:val="num" w:pos="0"/>
        </w:tabs>
        <w:ind w:start="6480" w:hanging="360"/>
      </w:pPr>
      <w:rPr>
        <w:rFonts w:ascii="Wingdings" w:hAnsi="Wingdings" w:cs="Wingdings" w:hint="default"/>
      </w:rPr>
    </w:lvl>
  </w:abstractNum>
  <w:abstractNum w:abstractNumId="15">
    <w:lvl w:ilvl="0">
      <w:numFmt w:val="bullet"/>
      <w:lvlText w:val=""/>
      <w:lvlJc w:val="start"/>
      <w:pPr>
        <w:tabs>
          <w:tab w:val="num" w:pos="0"/>
        </w:tabs>
        <w:ind w:start="720" w:hanging="360"/>
      </w:pPr>
      <w:rPr>
        <w:rFonts w:ascii="Symbol" w:hAnsi="Symbol" w:cs="Symbol" w:hint="default"/>
      </w:rPr>
    </w:lvl>
    <w:lvl w:ilvl="1">
      <w:start w:val="0"/>
      <w:numFmt w:val="bullet"/>
      <w:lvlText w:val="o"/>
      <w:lvlJc w:val="start"/>
      <w:pPr>
        <w:tabs>
          <w:tab w:val="num" w:pos="0"/>
        </w:tabs>
        <w:ind w:start="1440" w:hanging="360"/>
      </w:pPr>
      <w:rPr>
        <w:rFonts w:ascii="Courier New" w:hAnsi="Courier New" w:cs="Courier New" w:hint="default"/>
      </w:rPr>
    </w:lvl>
    <w:lvl w:ilvl="2">
      <w:start w:val="0"/>
      <w:numFmt w:val="bullet"/>
      <w:lvlText w:val=""/>
      <w:lvlJc w:val="start"/>
      <w:pPr>
        <w:tabs>
          <w:tab w:val="num" w:pos="0"/>
        </w:tabs>
        <w:ind w:start="2160" w:hanging="360"/>
      </w:pPr>
      <w:rPr>
        <w:rFonts w:ascii="Wingdings" w:hAnsi="Wingdings" w:cs="Wingdings" w:hint="default"/>
      </w:rPr>
    </w:lvl>
    <w:lvl w:ilvl="3">
      <w:start w:val="0"/>
      <w:numFmt w:val="bullet"/>
      <w:lvlText w:val=""/>
      <w:lvlJc w:val="start"/>
      <w:pPr>
        <w:tabs>
          <w:tab w:val="num" w:pos="0"/>
        </w:tabs>
        <w:ind w:start="2880" w:hanging="360"/>
      </w:pPr>
      <w:rPr>
        <w:rFonts w:ascii="Symbol" w:hAnsi="Symbol" w:cs="Symbol" w:hint="default"/>
      </w:rPr>
    </w:lvl>
    <w:lvl w:ilvl="4">
      <w:start w:val="0"/>
      <w:numFmt w:val="bullet"/>
      <w:lvlText w:val="o"/>
      <w:lvlJc w:val="start"/>
      <w:pPr>
        <w:tabs>
          <w:tab w:val="num" w:pos="0"/>
        </w:tabs>
        <w:ind w:start="3600" w:hanging="360"/>
      </w:pPr>
      <w:rPr>
        <w:rFonts w:ascii="Courier New" w:hAnsi="Courier New" w:cs="Courier New" w:hint="default"/>
      </w:rPr>
    </w:lvl>
    <w:lvl w:ilvl="5">
      <w:start w:val="0"/>
      <w:numFmt w:val="bullet"/>
      <w:lvlText w:val=""/>
      <w:lvlJc w:val="start"/>
      <w:pPr>
        <w:tabs>
          <w:tab w:val="num" w:pos="0"/>
        </w:tabs>
        <w:ind w:start="4320" w:hanging="360"/>
      </w:pPr>
      <w:rPr>
        <w:rFonts w:ascii="Wingdings" w:hAnsi="Wingdings" w:cs="Wingdings" w:hint="default"/>
      </w:rPr>
    </w:lvl>
    <w:lvl w:ilvl="6">
      <w:start w:val="0"/>
      <w:numFmt w:val="bullet"/>
      <w:lvlText w:val=""/>
      <w:lvlJc w:val="start"/>
      <w:pPr>
        <w:tabs>
          <w:tab w:val="num" w:pos="0"/>
        </w:tabs>
        <w:ind w:start="5040" w:hanging="360"/>
      </w:pPr>
      <w:rPr>
        <w:rFonts w:ascii="Symbol" w:hAnsi="Symbol" w:cs="Symbol" w:hint="default"/>
      </w:rPr>
    </w:lvl>
    <w:lvl w:ilvl="7">
      <w:start w:val="0"/>
      <w:numFmt w:val="bullet"/>
      <w:lvlText w:val="o"/>
      <w:lvlJc w:val="start"/>
      <w:pPr>
        <w:tabs>
          <w:tab w:val="num" w:pos="0"/>
        </w:tabs>
        <w:ind w:start="5760" w:hanging="360"/>
      </w:pPr>
      <w:rPr>
        <w:rFonts w:ascii="Courier New" w:hAnsi="Courier New" w:cs="Courier New" w:hint="default"/>
      </w:rPr>
    </w:lvl>
    <w:lvl w:ilvl="8">
      <w:start w:val="0"/>
      <w:numFmt w:val="bullet"/>
      <w:lvlText w:val=""/>
      <w:lvlJc w:val="start"/>
      <w:pPr>
        <w:tabs>
          <w:tab w:val="num" w:pos="0"/>
        </w:tabs>
        <w:ind w:start="6480" w:hanging="360"/>
      </w:pPr>
      <w:rPr>
        <w:rFonts w:ascii="Wingdings" w:hAnsi="Wingdings" w:cs="Wingdings" w:hint="default"/>
      </w:rPr>
    </w:lvl>
  </w:abstractNum>
  <w:abstractNum w:abstractNumId="16">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bering>
</file>

<file path=word/settings.xml><?xml version="1.0" encoding="utf-8"?>
<w:settings xmlns:w="http://schemas.openxmlformats.org/wordprocessingml/2006/main">
  <w:zoom w:val="bestFit" w:percent="197"/>
  <w:embedSystemFonts/>
  <w:defaultTabStop w:val="709"/>
  <w:autoHyphenation w:val="true"/>
  <w:hyphenationZone w:val="0"/>
  <w:compat>
    <w:compatSetting w:name="compatibilityMode" w:uri="http://schemas.microsoft.com/office/word" w:val="15"/>
    <w:compatSetting w:name="useWord2013TrackBottomHyphenation" w:uri="http://schemas.microsoft.com/office/word" w:val="1"/>
    <w:compatSetting w:name="allowHyphenationAtTrackBottom"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ongti SC" w:cs="Arial Unicode MS"/>
        <w:kern w:val="2"/>
        <w:sz w:val="24"/>
        <w:szCs w:val="24"/>
        <w:lang w:val="fr-FR" w:eastAsia="zh-CN" w:bidi="hi-IN"/>
      </w:rPr>
    </w:rPrDefault>
    <w:pPrDefault>
      <w:pPr>
        <w:suppressAutoHyphens w:val="true"/>
      </w:pPr>
    </w:pPrDefault>
  </w:docDefaults>
  <w:style w:type="paragraph" w:styleId="Normal">
    <w:name w:val="Normal"/>
    <w:qFormat/>
    <w:pPr>
      <w:widowControl/>
      <w:suppressAutoHyphens w:val="true"/>
      <w:bidi w:val="0"/>
      <w:spacing w:before="0" w:after="0"/>
      <w:jc w:val="start"/>
    </w:pPr>
    <w:rPr>
      <w:rFonts w:ascii="Liberation Serif" w:hAnsi="Liberation Serif" w:eastAsia="Songti SC" w:cs="Arial Unicode MS"/>
      <w:color w:val="auto"/>
      <w:kern w:val="2"/>
      <w:sz w:val="24"/>
      <w:szCs w:val="24"/>
      <w:lang w:val="fr-FR" w:eastAsia="zh-CN" w:bidi="hi-IN"/>
    </w:rPr>
  </w:style>
  <w:style w:type="paragraph" w:styleId="Heading1">
    <w:name w:val="heading 1"/>
    <w:basedOn w:val="Titre"/>
    <w:next w:val="BodyText"/>
    <w:qFormat/>
    <w:pPr>
      <w:numPr>
        <w:ilvl w:val="0"/>
        <w:numId w:val="2"/>
      </w:numPr>
      <w:spacing w:before="240" w:after="120"/>
      <w:outlineLvl w:val="0"/>
    </w:pPr>
    <w:rPr>
      <w:rFonts w:ascii="Liberation Serif" w:hAnsi="Liberation Serif" w:eastAsia="Songti SC" w:cs="Arial Unicode MS"/>
      <w:b/>
      <w:bCs/>
      <w:i w:val="false"/>
      <w:sz w:val="44"/>
      <w:szCs w:val="48"/>
    </w:rPr>
  </w:style>
  <w:style w:type="paragraph" w:styleId="Heading2">
    <w:name w:val="heading 2"/>
    <w:basedOn w:val="Titre"/>
    <w:next w:val="BodyText"/>
    <w:qFormat/>
    <w:pPr>
      <w:numPr>
        <w:ilvl w:val="1"/>
        <w:numId w:val="2"/>
      </w:numPr>
      <w:spacing w:before="200" w:after="120"/>
      <w:outlineLvl w:val="1"/>
    </w:pPr>
    <w:rPr>
      <w:rFonts w:ascii="Liberation Serif" w:hAnsi="Liberation Serif" w:eastAsia="Songti SC" w:cs="Arial Unicode MS"/>
      <w:b/>
      <w:bCs/>
      <w:sz w:val="40"/>
      <w:szCs w:val="36"/>
    </w:rPr>
  </w:style>
  <w:style w:type="paragraph" w:styleId="Heading3">
    <w:name w:val="heading 3"/>
    <w:basedOn w:val="Titre"/>
    <w:next w:val="BodyText"/>
    <w:qFormat/>
    <w:pPr>
      <w:numPr>
        <w:ilvl w:val="2"/>
        <w:numId w:val="2"/>
      </w:numPr>
      <w:spacing w:before="140" w:after="120"/>
      <w:outlineLvl w:val="2"/>
    </w:pPr>
    <w:rPr>
      <w:rFonts w:ascii="Liberation Serif" w:hAnsi="Liberation Serif" w:eastAsia="Songti SC" w:cs="Arial Unicode MS"/>
      <w:b/>
      <w:bCs/>
      <w:sz w:val="36"/>
      <w:szCs w:val="28"/>
    </w:rPr>
  </w:style>
  <w:style w:type="paragraph" w:styleId="Heading4">
    <w:name w:val="heading 4"/>
    <w:basedOn w:val="Titre"/>
    <w:next w:val="BodyText"/>
    <w:qFormat/>
    <w:pPr>
      <w:numPr>
        <w:ilvl w:val="3"/>
        <w:numId w:val="2"/>
      </w:numPr>
      <w:spacing w:lineRule="auto" w:line="276" w:before="0" w:after="140"/>
      <w:outlineLvl w:val="3"/>
    </w:pPr>
    <w:rPr>
      <w:rFonts w:ascii="Liberation Serif" w:hAnsi="Liberation Serif" w:eastAsia="Songti SC" w:cs="Arial Unicode MS"/>
      <w:b/>
      <w:bCs/>
      <w:sz w:val="32"/>
      <w:szCs w:val="24"/>
    </w:rPr>
  </w:style>
  <w:style w:type="paragraph" w:styleId="Heading5">
    <w:name w:val="heading 5"/>
    <w:basedOn w:val="Titreuser"/>
    <w:next w:val="BodyText"/>
    <w:qFormat/>
    <w:pPr>
      <w:numPr>
        <w:ilvl w:val="4"/>
        <w:numId w:val="1"/>
      </w:numPr>
      <w:spacing w:before="120" w:after="60"/>
      <w:outlineLvl w:val="4"/>
    </w:pPr>
    <w:rPr>
      <w:b/>
      <w:bCs/>
      <w:sz w:val="24"/>
      <w:szCs w:val="24"/>
    </w:rPr>
  </w:style>
  <w:style w:type="paragraph" w:styleId="Heading6">
    <w:name w:val="heading 6"/>
    <w:basedOn w:val="Titreuser"/>
    <w:next w:val="BodyText"/>
    <w:qFormat/>
    <w:pPr>
      <w:numPr>
        <w:ilvl w:val="5"/>
        <w:numId w:val="1"/>
      </w:numPr>
      <w:spacing w:before="60" w:after="60"/>
      <w:outlineLvl w:val="5"/>
    </w:pPr>
    <w:rPr>
      <w:b/>
      <w:bCs/>
      <w:i/>
      <w:iCs/>
      <w:sz w:val="24"/>
      <w:szCs w:val="24"/>
    </w:rPr>
  </w:style>
  <w:style w:type="character" w:styleId="Strong">
    <w:name w:val="Strong"/>
    <w:qFormat/>
    <w:rPr>
      <w:b/>
      <w:bCs/>
    </w:rPr>
  </w:style>
  <w:style w:type="character" w:styleId="Emphasis">
    <w:name w:val="Emphasis"/>
    <w:qFormat/>
    <w:rPr>
      <w:i/>
      <w:iCs/>
    </w:rPr>
  </w:style>
  <w:style w:type="character" w:styleId="Caractresdenumrotation">
    <w:name w:val="Caractères de numérotation"/>
    <w:qFormat/>
    <w:rPr/>
  </w:style>
  <w:style w:type="character" w:styleId="Puces">
    <w:name w:val="Puces"/>
    <w:qFormat/>
    <w:rPr>
      <w:rFonts w:ascii="OpenSymbol" w:hAnsi="OpenSymbol" w:eastAsia="OpenSymbol" w:cs="OpenSymbol"/>
    </w:rPr>
  </w:style>
  <w:style w:type="character" w:styleId="Caractresdenumrotationuser">
    <w:name w:val="Caractères de numérotation (user)"/>
    <w:qFormat/>
    <w:rPr/>
  </w:style>
  <w:style w:type="character" w:styleId="Pucesuser">
    <w:name w:val="Puces (user)"/>
    <w:qFormat/>
    <w:rPr>
      <w:rFonts w:ascii="OpenSymbol" w:hAnsi="OpenSymbol" w:eastAsia="OpenSymbol" w:cs="OpenSymbol"/>
    </w:rPr>
  </w:style>
  <w:style w:type="character" w:styleId="Textesourceuser">
    <w:name w:val="Texte source (user)"/>
    <w:qFormat/>
    <w:rPr>
      <w:rFonts w:ascii="Liberation Mono" w:hAnsi="Liberation Mono" w:eastAsia="Liberation Mono" w:cs="Liberation Mono"/>
    </w:rPr>
  </w:style>
  <w:style w:type="character" w:styleId="Hyperlink">
    <w:name w:val="Hyperlink"/>
    <w:rPr>
      <w:color w:val="000080"/>
      <w:u w:val="single"/>
    </w:rPr>
  </w:style>
  <w:style w:type="character" w:styleId="Sautdindexuser">
    <w:name w:val="Saut d'index (user)"/>
    <w:qFormat/>
    <w:rPr/>
  </w:style>
  <w:style w:type="character" w:styleId="Sautdindex">
    <w:name w:val="Saut d'index"/>
    <w:qFormat/>
    <w:rPr/>
  </w:style>
  <w:style w:type="character" w:styleId="KeywordTok" w:customStyle="1">
    <w:name w:val="KeywordTok"/>
    <w:qFormat/>
    <w:rPr>
      <w:b/>
      <w:color w:val="007020"/>
    </w:rPr>
  </w:style>
  <w:style w:type="character" w:styleId="DataTypeTok" w:customStyle="1">
    <w:name w:val="DataTypeTok"/>
    <w:qFormat/>
    <w:rPr>
      <w:color w:val="902000"/>
    </w:rPr>
  </w:style>
  <w:style w:type="character" w:styleId="DecValTok" w:customStyle="1">
    <w:name w:val="DecValTok"/>
    <w:qFormat/>
    <w:rPr>
      <w:color w:val="40A070"/>
    </w:rPr>
  </w:style>
  <w:style w:type="character" w:styleId="BaseNTok" w:customStyle="1">
    <w:name w:val="BaseNTok"/>
    <w:qFormat/>
    <w:rPr>
      <w:color w:val="40A070"/>
    </w:rPr>
  </w:style>
  <w:style w:type="character" w:styleId="FloatTok" w:customStyle="1">
    <w:name w:val="FloatTok"/>
    <w:qFormat/>
    <w:rPr>
      <w:color w:val="40A070"/>
    </w:rPr>
  </w:style>
  <w:style w:type="character" w:styleId="ConstantTok" w:customStyle="1">
    <w:name w:val="ConstantTok"/>
    <w:qFormat/>
    <w:rPr>
      <w:color w:val="880000"/>
    </w:rPr>
  </w:style>
  <w:style w:type="character" w:styleId="CharTok" w:customStyle="1">
    <w:name w:val="CharTok"/>
    <w:qFormat/>
    <w:rPr>
      <w:color w:val="4070A0"/>
    </w:rPr>
  </w:style>
  <w:style w:type="character" w:styleId="SpecialCharTok" w:customStyle="1">
    <w:name w:val="SpecialCharTok"/>
    <w:qFormat/>
    <w:rPr>
      <w:color w:val="4070A0"/>
    </w:rPr>
  </w:style>
  <w:style w:type="character" w:styleId="StringTok" w:customStyle="1">
    <w:name w:val="StringTok"/>
    <w:qFormat/>
    <w:rPr>
      <w:color w:val="4070A0"/>
    </w:rPr>
  </w:style>
  <w:style w:type="character" w:styleId="VerbatimStringTok" w:customStyle="1">
    <w:name w:val="VerbatimStringTok"/>
    <w:qFormat/>
    <w:rPr>
      <w:color w:val="4070A0"/>
    </w:rPr>
  </w:style>
  <w:style w:type="character" w:styleId="SpecialStringTok" w:customStyle="1">
    <w:name w:val="SpecialStringTok"/>
    <w:qFormat/>
    <w:rPr>
      <w:color w:val="BB6688"/>
    </w:rPr>
  </w:style>
  <w:style w:type="character" w:styleId="ImportTok" w:customStyle="1">
    <w:name w:val="ImportTok"/>
    <w:qFormat/>
    <w:rPr>
      <w:b/>
      <w:color w:val="008000"/>
    </w:rPr>
  </w:style>
  <w:style w:type="character" w:styleId="CommentTok" w:customStyle="1">
    <w:name w:val="CommentTok"/>
    <w:qFormat/>
    <w:rPr>
      <w:i/>
      <w:color w:val="60A0B0"/>
    </w:rPr>
  </w:style>
  <w:style w:type="character" w:styleId="DocumentationTok" w:customStyle="1">
    <w:name w:val="DocumentationTok"/>
    <w:qFormat/>
    <w:rPr>
      <w:i/>
      <w:color w:val="BA2121"/>
    </w:rPr>
  </w:style>
  <w:style w:type="character" w:styleId="AnnotationTok" w:customStyle="1">
    <w:name w:val="AnnotationTok"/>
    <w:qFormat/>
    <w:rPr>
      <w:b/>
      <w:i/>
      <w:color w:val="60A0B0"/>
    </w:rPr>
  </w:style>
  <w:style w:type="character" w:styleId="CommentVarTok" w:customStyle="1">
    <w:name w:val="CommentVarTok"/>
    <w:qFormat/>
    <w:rPr>
      <w:b/>
      <w:i/>
      <w:color w:val="60A0B0"/>
    </w:rPr>
  </w:style>
  <w:style w:type="character" w:styleId="OtherTok" w:customStyle="1">
    <w:name w:val="OtherTok"/>
    <w:qFormat/>
    <w:rPr>
      <w:color w:val="007020"/>
    </w:rPr>
  </w:style>
  <w:style w:type="character" w:styleId="FunctionTok" w:customStyle="1">
    <w:name w:val="FunctionTok"/>
    <w:qFormat/>
    <w:rPr>
      <w:color w:val="06287E"/>
    </w:rPr>
  </w:style>
  <w:style w:type="character" w:styleId="VariableTok" w:customStyle="1">
    <w:name w:val="VariableTok"/>
    <w:qFormat/>
    <w:rPr>
      <w:color w:val="19177C"/>
    </w:rPr>
  </w:style>
  <w:style w:type="character" w:styleId="ControlFlowTok" w:customStyle="1">
    <w:name w:val="ControlFlowTok"/>
    <w:qFormat/>
    <w:rPr>
      <w:b/>
      <w:color w:val="007020"/>
    </w:rPr>
  </w:style>
  <w:style w:type="character" w:styleId="OperatorTok" w:customStyle="1">
    <w:name w:val="OperatorTok"/>
    <w:qFormat/>
    <w:rPr>
      <w:color w:val="666666"/>
    </w:rPr>
  </w:style>
  <w:style w:type="character" w:styleId="BuiltInTok" w:customStyle="1">
    <w:name w:val="BuiltInTok"/>
    <w:qFormat/>
    <w:rPr>
      <w:color w:val="008000"/>
    </w:rPr>
  </w:style>
  <w:style w:type="character" w:styleId="ExtensionTok" w:customStyle="1">
    <w:name w:val="ExtensionTok"/>
    <w:qFormat/>
    <w:rPr/>
  </w:style>
  <w:style w:type="character" w:styleId="PreprocessorTok" w:customStyle="1">
    <w:name w:val="PreprocessorTok"/>
    <w:qFormat/>
    <w:rPr>
      <w:color w:val="BC7A00"/>
    </w:rPr>
  </w:style>
  <w:style w:type="character" w:styleId="AttributeTok" w:customStyle="1">
    <w:name w:val="AttributeTok"/>
    <w:qFormat/>
    <w:rPr>
      <w:color w:val="7D9029"/>
    </w:rPr>
  </w:style>
  <w:style w:type="character" w:styleId="RegionMarkerTok" w:customStyle="1">
    <w:name w:val="RegionMarkerTok"/>
    <w:qFormat/>
    <w:rPr/>
  </w:style>
  <w:style w:type="character" w:styleId="InformationTok" w:customStyle="1">
    <w:name w:val="InformationTok"/>
    <w:qFormat/>
    <w:rPr>
      <w:b/>
      <w:i/>
      <w:color w:val="60A0B0"/>
    </w:rPr>
  </w:style>
  <w:style w:type="character" w:styleId="WarningTok" w:customStyle="1">
    <w:name w:val="WarningTok"/>
    <w:qFormat/>
    <w:rPr>
      <w:b/>
      <w:i/>
      <w:color w:val="60A0B0"/>
    </w:rPr>
  </w:style>
  <w:style w:type="character" w:styleId="AlertTok" w:customStyle="1">
    <w:name w:val="AlertTok"/>
    <w:qFormat/>
    <w:rPr>
      <w:b/>
      <w:color w:val="FF0000"/>
    </w:rPr>
  </w:style>
  <w:style w:type="character" w:styleId="ErrorTok" w:customStyle="1">
    <w:name w:val="ErrorTok"/>
    <w:qFormat/>
    <w:rPr>
      <w:b/>
      <w:color w:val="FF0000"/>
    </w:rPr>
  </w:style>
  <w:style w:type="character" w:styleId="NormalTok" w:customStyle="1">
    <w:name w:val="NormalTok"/>
    <w:qFormat/>
    <w:rPr/>
  </w:style>
  <w:style w:type="paragraph" w:styleId="Titre">
    <w:name w:val="Titre"/>
    <w:basedOn w:val="Normal"/>
    <w:next w:val="BodyText"/>
    <w:qFormat/>
    <w:pPr>
      <w:keepNext w:val="true"/>
      <w:spacing w:before="240" w:after="120"/>
    </w:pPr>
    <w:rPr>
      <w:rFonts w:ascii="Liberation Sans" w:hAnsi="Liberation Sans" w:eastAsia="Arial Unicode MS" w:cs="Arial Unicode M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styleId="Index">
    <w:name w:val="Index"/>
    <w:basedOn w:val="Normal"/>
    <w:qFormat/>
    <w:pPr>
      <w:suppressLineNumbers/>
    </w:pPr>
    <w:rPr>
      <w:rFonts w:cs="Arial Unicode MS"/>
    </w:rPr>
  </w:style>
  <w:style w:type="paragraph" w:styleId="Titreuser">
    <w:name w:val="Titre (user)"/>
    <w:basedOn w:val="Normal"/>
    <w:next w:val="BodyText"/>
    <w:qFormat/>
    <w:pPr>
      <w:keepNext w:val="true"/>
      <w:spacing w:before="240" w:after="120"/>
    </w:pPr>
    <w:rPr>
      <w:rFonts w:ascii="Liberation Sans" w:hAnsi="Liberation Sans" w:eastAsia="Arial Unicode MS" w:cs="Arial Unicode MS"/>
      <w:sz w:val="28"/>
      <w:szCs w:val="28"/>
    </w:rPr>
  </w:style>
  <w:style w:type="paragraph" w:styleId="Lignehorizontale">
    <w:name w:val="Ligne horizontale"/>
    <w:basedOn w:val="Normal"/>
    <w:next w:val="BodyText"/>
    <w:qFormat/>
    <w:pPr>
      <w:suppressLineNumbers/>
      <w:pBdr>
        <w:bottom w:val="double" w:sz="2" w:space="0" w:color="808080"/>
      </w:pBdr>
      <w:spacing w:before="0" w:after="283"/>
    </w:pPr>
    <w:rPr>
      <w:sz w:val="12"/>
      <w:szCs w:val="12"/>
    </w:rPr>
  </w:style>
  <w:style w:type="paragraph" w:styleId="Contenudetableau">
    <w:name w:val="Contenu de tableau"/>
    <w:basedOn w:val="Normal"/>
    <w:qFormat/>
    <w:pPr>
      <w:widowControl w:val="false"/>
      <w:suppressLineNumbers/>
    </w:pPr>
    <w:rPr/>
  </w:style>
  <w:style w:type="paragraph" w:styleId="Titredetableau">
    <w:name w:val="Titre de tableau"/>
    <w:basedOn w:val="Contenudetableau"/>
    <w:qFormat/>
    <w:pPr>
      <w:suppressLineNumbers/>
      <w:jc w:val="center"/>
    </w:pPr>
    <w:rPr>
      <w:b/>
      <w:bCs/>
    </w:rPr>
  </w:style>
  <w:style w:type="paragraph" w:styleId="Blocdecitation">
    <w:name w:val="Bloc de citation"/>
    <w:basedOn w:val="Normal"/>
    <w:qFormat/>
    <w:pPr>
      <w:spacing w:before="0" w:after="283"/>
      <w:ind w:hanging="0" w:start="567" w:end="567"/>
    </w:pPr>
    <w:rPr/>
  </w:style>
  <w:style w:type="paragraph" w:styleId="Lignehorizontaleuser">
    <w:name w:val="Ligne horizontale (user)"/>
    <w:basedOn w:val="Normal"/>
    <w:next w:val="BodyText"/>
    <w:qFormat/>
    <w:pPr>
      <w:suppressLineNumbers/>
      <w:pBdr>
        <w:bottom w:val="double" w:sz="2" w:space="0" w:color="808080"/>
      </w:pBdr>
      <w:spacing w:before="0" w:after="283"/>
    </w:pPr>
    <w:rPr>
      <w:sz w:val="12"/>
      <w:szCs w:val="12"/>
    </w:rPr>
  </w:style>
  <w:style w:type="paragraph" w:styleId="Blocdecitationuser">
    <w:name w:val="Bloc de citation (user)"/>
    <w:basedOn w:val="Normal"/>
    <w:qFormat/>
    <w:pPr>
      <w:spacing w:before="0" w:after="283"/>
      <w:ind w:hanging="0" w:start="567" w:end="567"/>
    </w:pPr>
    <w:rPr/>
  </w:style>
  <w:style w:type="paragraph" w:styleId="Contenudetableauuser">
    <w:name w:val="Contenu de tableau (user)"/>
    <w:basedOn w:val="Normal"/>
    <w:qFormat/>
    <w:pPr>
      <w:widowControl w:val="false"/>
      <w:suppressLineNumbers/>
    </w:pPr>
    <w:rPr/>
  </w:style>
  <w:style w:type="paragraph" w:styleId="Titredetableauuser">
    <w:name w:val="Titre de tableau (user)"/>
    <w:basedOn w:val="Contenudetableauuser"/>
    <w:qFormat/>
    <w:pPr>
      <w:suppressLineNumbers/>
      <w:jc w:val="center"/>
    </w:pPr>
    <w:rPr>
      <w:b/>
      <w:bCs/>
    </w:rPr>
  </w:style>
  <w:style w:type="paragraph" w:styleId="Texteprformatuser">
    <w:name w:val="Texte préformaté (user)"/>
    <w:basedOn w:val="Normal"/>
    <w:qFormat/>
    <w:pPr>
      <w:spacing w:before="0" w:after="0"/>
    </w:pPr>
    <w:rPr>
      <w:rFonts w:ascii="Liberation Mono" w:hAnsi="Liberation Mono" w:eastAsia="Liberation Mono" w:cs="Liberation Mono"/>
      <w:sz w:val="20"/>
      <w:szCs w:val="20"/>
    </w:rPr>
  </w:style>
  <w:style w:type="paragraph" w:styleId="IndexHeading">
    <w:name w:val="index heading"/>
    <w:basedOn w:val="Titreuser"/>
    <w:pPr>
      <w:suppressLineNumbers/>
      <w:ind w:hanging="0" w:start="0"/>
    </w:pPr>
    <w:rPr>
      <w:b/>
      <w:bCs/>
      <w:sz w:val="32"/>
      <w:szCs w:val="32"/>
    </w:rPr>
  </w:style>
  <w:style w:type="paragraph" w:styleId="TOCHeading">
    <w:name w:val="TOC Heading"/>
    <w:basedOn w:val="IndexHeading"/>
    <w:qFormat/>
    <w:pPr>
      <w:suppressLineNumbers/>
      <w:ind w:hanging="0" w:start="0"/>
    </w:pPr>
    <w:rPr>
      <w:b/>
      <w:bCs/>
      <w:sz w:val="32"/>
      <w:szCs w:val="32"/>
    </w:rPr>
  </w:style>
  <w:style w:type="paragraph" w:styleId="TOC1">
    <w:name w:val="toc 1"/>
    <w:basedOn w:val="Index"/>
    <w:pPr>
      <w:tabs>
        <w:tab w:val="clear" w:pos="709"/>
        <w:tab w:val="right" w:pos="9638" w:leader="dot"/>
      </w:tabs>
      <w:ind w:hanging="0" w:start="0"/>
    </w:pPr>
    <w:rPr/>
  </w:style>
  <w:style w:type="paragraph" w:styleId="TOC2">
    <w:name w:val="toc 2"/>
    <w:basedOn w:val="Index"/>
    <w:pPr>
      <w:tabs>
        <w:tab w:val="clear" w:pos="709"/>
        <w:tab w:val="right" w:pos="9355" w:leader="dot"/>
      </w:tabs>
      <w:ind w:hanging="0" w:start="283"/>
    </w:pPr>
    <w:rPr/>
  </w:style>
  <w:style w:type="paragraph" w:styleId="TOC3">
    <w:name w:val="toc 3"/>
    <w:basedOn w:val="Index"/>
    <w:pPr>
      <w:tabs>
        <w:tab w:val="clear" w:pos="709"/>
        <w:tab w:val="right" w:pos="9071" w:leader="dot"/>
      </w:tabs>
      <w:ind w:hanging="0" w:start="567"/>
    </w:pPr>
    <w:rPr/>
  </w:style>
  <w:style w:type="paragraph" w:styleId="TOC4">
    <w:name w:val="toc 4"/>
    <w:basedOn w:val="Index"/>
    <w:pPr>
      <w:tabs>
        <w:tab w:val="clear" w:pos="709"/>
        <w:tab w:val="right" w:pos="8788" w:leader="dot"/>
      </w:tabs>
      <w:ind w:hanging="0" w:start="850"/>
    </w:pPr>
    <w:rPr/>
  </w:style>
  <w:style w:type="paragraph" w:styleId="SourceCode" w:customStyle="1">
    <w:name w:val="Source Code"/>
    <w:basedOn w:val="Normal"/>
    <w:qFormat/>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29883</TotalTime>
  <Application>LibreOffice/26.2.1.2$MacOSX_AARCH64 LibreOffice_project/8399f6259d8c87f40e7255cdb3c9b958f5e08948</Application>
  <AppVersion>15.0000</AppVersion>
  <Pages>99</Pages>
  <Words>53567</Words>
  <Characters>315984</Characters>
  <CharactersWithSpaces>369278</CharactersWithSpaces>
  <Paragraphs>732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2026-04-23T08:32:59Z</dcterms:created>
  <dc:creator/>
  <dc:description/>
  <dc:language>fr-FR</dc:language>
  <cp:lastModifiedBy/>
  <dcterms:modified xsi:type="dcterms:W3CDTF">2026-04-23T08:32:59Z</dcterms:modified>
  <cp:revision>0</cp:revision>
  <dc:subject/>
  <dc:title/>
</cp:coreProperties>
</file>

<file path=docProps/custom.xml><?xml version="1.0" encoding="utf-8"?>
<Properties xmlns="http://schemas.openxmlformats.org/officeDocument/2006/custom-properties" xmlns:vt="http://schemas.openxmlformats.org/officeDocument/2006/docPropsVTypes"/>
</file>