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107765_1543575209"/>
      <w:bookmarkEnd w:id="0"/>
      <w:r>
        <w:rPr/>
        <w:t>Annexe — Glossaire archicratique pour l’audit des systèmes d’IA</w:t>
      </w:r>
    </w:p>
    <w:p>
      <w:pPr>
        <w:pStyle w:val="BodyText"/>
        <w:bidi w:val="0"/>
        <w:jc w:val="start"/>
        <w:rPr/>
      </w:pPr>
      <w:r>
        <w:rPr>
          <w:b w:val="false"/>
          <w:bCs w:val="false"/>
        </w:rPr>
        <w:t xml:space="preserve">Cette annexe propose un bref glossaire des notions archicratiques mobilisées dans l’audit de Système F. Elle n’a pas vocation à réexposer la théorie dans toute son ampleur, mais à fournir au lecteur du cas pratique quelques </w:t>
      </w:r>
      <w:r>
        <w:rPr>
          <w:rStyle w:val="Strong"/>
          <w:b w:val="false"/>
          <w:bCs w:val="false"/>
        </w:rPr>
        <w:t>repères opératoires</w:t>
      </w:r>
      <w:r>
        <w:rPr>
          <w:b w:val="false"/>
          <w:bCs w:val="false"/>
        </w:rPr>
        <w:t xml:space="preserve"> pour suivre le fil des analyses.</w:t>
      </w:r>
    </w:p>
    <w:p>
      <w:pPr>
        <w:pStyle w:val="Heading2"/>
        <w:bidi w:val="0"/>
        <w:jc w:val="start"/>
        <w:rPr/>
      </w:pPr>
      <w:bookmarkStart w:id="1" w:name="__RefHeading___Toc107767_1543575209"/>
      <w:bookmarkEnd w:id="1"/>
      <w:r>
        <w:rPr/>
        <w:t>Arcalité</w:t>
      </w:r>
    </w:p>
    <w:p>
      <w:pPr>
        <w:pStyle w:val="BodyText"/>
        <w:bidi w:val="0"/>
        <w:jc w:val="start"/>
        <w:rPr/>
      </w:pPr>
      <w:r>
        <w:rPr>
          <w:b w:val="false"/>
          <w:bCs w:val="false"/>
        </w:rPr>
        <w:t xml:space="preserve">On appelle </w:t>
      </w:r>
      <w:r>
        <w:rPr>
          <w:rStyle w:val="Emphasis"/>
          <w:b w:val="false"/>
          <w:bCs w:val="false"/>
        </w:rPr>
        <w:t>arcalité</w:t>
      </w:r>
      <w:r>
        <w:rPr>
          <w:b w:val="false"/>
          <w:bCs w:val="false"/>
        </w:rPr>
        <w:t xml:space="preserve"> la </w:t>
      </w:r>
      <w:r>
        <w:rPr>
          <w:b w:val="false"/>
          <w:bCs w:val="false"/>
          <w:i/>
          <w:iCs/>
        </w:rPr>
        <w:t xml:space="preserve">dimension de tout ordre régulateur qui concerne ses </w:t>
      </w:r>
      <w:r>
        <w:rPr>
          <w:rStyle w:val="Strong"/>
          <w:b w:val="false"/>
          <w:bCs w:val="false"/>
          <w:i/>
          <w:iCs/>
        </w:rPr>
        <w:t>fondements</w:t>
      </w:r>
      <w:r>
        <w:rPr>
          <w:b w:val="false"/>
          <w:bCs w:val="false"/>
        </w:rPr>
        <w:t xml:space="preserve"> : </w:t>
      </w:r>
      <w:r>
        <w:rPr>
          <w:b w:val="false"/>
          <w:bCs w:val="false"/>
          <w:i/>
          <w:iCs/>
        </w:rPr>
        <w:t>ce qui l’autorise, ce qui le rend légitime, ce qui lui donne droit de décider</w:t>
      </w:r>
      <w:r>
        <w:rPr>
          <w:b w:val="false"/>
          <w:bCs w:val="false"/>
        </w:rPr>
        <w:t>. L’</w:t>
      </w:r>
      <w:r>
        <w:rPr>
          <w:b w:val="false"/>
          <w:bCs w:val="false"/>
          <w:i/>
          <w:iCs/>
        </w:rPr>
        <w:t>arcalité</w:t>
      </w:r>
      <w:r>
        <w:rPr>
          <w:b w:val="false"/>
          <w:bCs w:val="false"/>
        </w:rPr>
        <w:t xml:space="preserve"> est faite de </w:t>
      </w:r>
      <w:r>
        <w:rPr>
          <w:b w:val="false"/>
          <w:bCs w:val="false"/>
          <w:i/>
          <w:iCs/>
        </w:rPr>
        <w:t>récits</w:t>
      </w:r>
      <w:r>
        <w:rPr>
          <w:b w:val="false"/>
          <w:bCs w:val="false"/>
        </w:rPr>
        <w:t xml:space="preserve">, de </w:t>
      </w:r>
      <w:r>
        <w:rPr>
          <w:b w:val="false"/>
          <w:bCs w:val="false"/>
          <w:i/>
          <w:iCs/>
        </w:rPr>
        <w:t>principes</w:t>
      </w:r>
      <w:r>
        <w:rPr>
          <w:b w:val="false"/>
          <w:bCs w:val="false"/>
        </w:rPr>
        <w:t xml:space="preserve">, de </w:t>
      </w:r>
      <w:r>
        <w:rPr>
          <w:b w:val="false"/>
          <w:bCs w:val="false"/>
          <w:i/>
          <w:iCs/>
        </w:rPr>
        <w:t>valeurs</w:t>
      </w:r>
      <w:r>
        <w:rPr>
          <w:b w:val="false"/>
          <w:bCs w:val="false"/>
        </w:rPr>
        <w:t xml:space="preserve">, de </w:t>
      </w:r>
      <w:r>
        <w:rPr>
          <w:b w:val="false"/>
          <w:bCs w:val="false"/>
          <w:i/>
          <w:iCs/>
        </w:rPr>
        <w:t>visées explicites ou implicites</w:t>
      </w:r>
      <w:r>
        <w:rPr>
          <w:b w:val="false"/>
          <w:bCs w:val="false"/>
        </w:rPr>
        <w:t xml:space="preserve"> : lutter contre la fraude, protéger l’État social, garantir la sécurité, promouvoir la santé, favoriser le “talent”, préserver la liberté d’expression, etc.</w:t>
      </w:r>
    </w:p>
    <w:p>
      <w:pPr>
        <w:pStyle w:val="BodyText"/>
        <w:bidi w:val="0"/>
        <w:jc w:val="start"/>
        <w:rPr>
          <w:b w:val="false"/>
          <w:bCs w:val="false"/>
        </w:rPr>
      </w:pPr>
      <w:r>
        <w:rPr>
          <w:b w:val="false"/>
          <w:bCs w:val="false"/>
        </w:rPr>
        <w:t>Dans Système F, on distingue :</w:t>
      </w:r>
    </w:p>
    <w:p>
      <w:pPr>
        <w:pStyle w:val="BodyText"/>
        <w:numPr>
          <w:ilvl w:val="0"/>
          <w:numId w:val="3"/>
        </w:numPr>
        <w:tabs>
          <w:tab w:val="left" w:pos="1418" w:leader="none"/>
        </w:tabs>
        <w:bidi w:val="0"/>
        <w:ind w:hanging="283" w:start="709"/>
        <w:jc w:val="start"/>
        <w:rPr/>
      </w:pPr>
      <w:r>
        <w:rPr>
          <w:b w:val="false"/>
          <w:bCs w:val="false"/>
        </w:rPr>
        <w:t xml:space="preserve">une </w:t>
      </w:r>
      <w:r>
        <w:rPr>
          <w:rStyle w:val="Strong"/>
          <w:b w:val="false"/>
          <w:bCs w:val="false"/>
          <w:i/>
          <w:iCs/>
        </w:rPr>
        <w:t>arcalité déclarée</w:t>
      </w:r>
      <w:r>
        <w:rPr>
          <w:b w:val="false"/>
          <w:bCs w:val="false"/>
        </w:rPr>
        <w:t xml:space="preserve"> : chartes d’“IA digne de confiance”, discours politiques sur la lutte contre la fraude, documents de marketing qui promettent d’“objectiver” le risque ou d’“optimiser” la sélection ;</w:t>
      </w:r>
    </w:p>
    <w:p>
      <w:pPr>
        <w:pStyle w:val="BodyText"/>
        <w:numPr>
          <w:ilvl w:val="0"/>
          <w:numId w:val="3"/>
        </w:numPr>
        <w:tabs>
          <w:tab w:val="left" w:pos="1418" w:leader="none"/>
        </w:tabs>
        <w:bidi w:val="0"/>
        <w:ind w:hanging="283" w:start="709"/>
        <w:jc w:val="start"/>
        <w:rPr/>
      </w:pPr>
      <w:r>
        <w:rPr>
          <w:b w:val="false"/>
          <w:bCs w:val="false"/>
        </w:rPr>
        <w:t xml:space="preserve">une </w:t>
      </w:r>
      <w:r>
        <w:rPr>
          <w:rStyle w:val="Strong"/>
          <w:b w:val="false"/>
          <w:bCs w:val="false"/>
          <w:i/>
          <w:iCs/>
        </w:rPr>
        <w:t>arcalité implicite</w:t>
      </w:r>
      <w:r>
        <w:rPr>
          <w:b w:val="false"/>
          <w:bCs w:val="false"/>
        </w:rPr>
        <w:t xml:space="preserve"> : choix de variables (coûts de santé comme proxy des besoins, nationalité comme indicateur de risque), arbitrages entre faux positifs et faux négatifs, composition des jeux de données, sélection de critères de “talent” ou de “dangerosité”.</w:t>
      </w:r>
    </w:p>
    <w:p>
      <w:pPr>
        <w:pStyle w:val="BodyText"/>
        <w:bidi w:val="0"/>
        <w:jc w:val="start"/>
        <w:rPr/>
      </w:pPr>
      <w:r>
        <w:rPr>
          <w:b w:val="false"/>
          <w:bCs w:val="false"/>
        </w:rPr>
        <w:t xml:space="preserve">L’enjeu archicratique n’est pas de moraliser </w:t>
      </w:r>
      <w:r>
        <w:rPr>
          <w:b w:val="false"/>
          <w:bCs w:val="false"/>
          <w:i/>
          <w:iCs/>
        </w:rPr>
        <w:t>a posteriori</w:t>
      </w:r>
      <w:r>
        <w:rPr>
          <w:b w:val="false"/>
          <w:bCs w:val="false"/>
        </w:rPr>
        <w:t xml:space="preserve"> ces choix, mais de </w:t>
      </w:r>
      <w:r>
        <w:rPr>
          <w:rStyle w:val="Strong"/>
          <w:b w:val="false"/>
          <w:bCs w:val="false"/>
        </w:rPr>
        <w:t xml:space="preserve">les </w:t>
      </w:r>
      <w:r>
        <w:rPr>
          <w:rStyle w:val="Strong"/>
          <w:b w:val="false"/>
          <w:bCs w:val="false"/>
          <w:i/>
          <w:iCs/>
        </w:rPr>
        <w:t>faire comparer sur scène</w:t>
      </w:r>
      <w:r>
        <w:rPr>
          <w:b w:val="false"/>
          <w:bCs w:val="false"/>
        </w:rPr>
        <w:t xml:space="preserve"> : </w:t>
      </w:r>
      <w:r>
        <w:rPr>
          <w:b w:val="false"/>
          <w:bCs w:val="false"/>
          <w:i/>
          <w:iCs/>
        </w:rPr>
        <w:t>exposer les axiomes silencieux</w:t>
      </w:r>
      <w:r>
        <w:rPr>
          <w:b w:val="false"/>
          <w:bCs w:val="false"/>
        </w:rPr>
        <w:t xml:space="preserve"> (“nous considérons qu’il est plus grave de laisser passer un fraudeur que de punir un innocent”, etc.), </w:t>
      </w:r>
      <w:r>
        <w:rPr>
          <w:b w:val="false"/>
          <w:bCs w:val="false"/>
          <w:i/>
          <w:iCs/>
        </w:rPr>
        <w:t>et permettre qu’ils soient discutés, contestés, révisés</w:t>
      </w:r>
      <w:r>
        <w:rPr>
          <w:b w:val="false"/>
          <w:bCs w:val="false"/>
        </w:rPr>
        <w:t>.</w:t>
      </w:r>
    </w:p>
    <w:p>
      <w:pPr>
        <w:pStyle w:val="Heading2"/>
        <w:keepNext w:val="true"/>
        <w:bidi w:val="0"/>
        <w:jc w:val="start"/>
        <w:rPr/>
      </w:pPr>
      <w:bookmarkStart w:id="2" w:name="__RefHeading___Toc107769_1543575209"/>
      <w:bookmarkEnd w:id="2"/>
      <w:r>
        <w:rPr/>
        <w:t>Cratialité</w:t>
      </w:r>
    </w:p>
    <w:p>
      <w:pPr>
        <w:pStyle w:val="BodyText"/>
        <w:bidi w:val="0"/>
        <w:jc w:val="start"/>
        <w:rPr/>
      </w:pPr>
      <w:r>
        <w:rPr>
          <w:b w:val="false"/>
          <w:bCs w:val="false"/>
        </w:rPr>
        <w:t xml:space="preserve">La </w:t>
      </w:r>
      <w:r>
        <w:rPr>
          <w:rStyle w:val="Emphasis"/>
          <w:b w:val="false"/>
          <w:bCs w:val="false"/>
        </w:rPr>
        <w:t>cratialité</w:t>
      </w:r>
      <w:r>
        <w:rPr>
          <w:b w:val="false"/>
          <w:bCs w:val="false"/>
        </w:rPr>
        <w:t xml:space="preserve"> désigne la dimension </w:t>
      </w:r>
      <w:r>
        <w:rPr>
          <w:rStyle w:val="Strong"/>
          <w:b w:val="false"/>
          <w:bCs w:val="false"/>
        </w:rPr>
        <w:t>opératoire</w:t>
      </w:r>
      <w:r>
        <w:rPr>
          <w:b w:val="false"/>
          <w:bCs w:val="false"/>
        </w:rPr>
        <w:t xml:space="preserve"> du pouvoir régulateur : la manière dont il s’applique concrètement, par quels instruments, quelles chaînes techniques, quelles procédures. C’est le “</w:t>
      </w:r>
      <w:r>
        <w:rPr>
          <w:b w:val="false"/>
          <w:bCs w:val="false"/>
          <w:i/>
          <w:iCs/>
        </w:rPr>
        <w:t>par quoi</w:t>
      </w:r>
      <w:r>
        <w:rPr>
          <w:b w:val="false"/>
          <w:bCs w:val="false"/>
        </w:rPr>
        <w:t>” et le “</w:t>
      </w:r>
      <w:r>
        <w:rPr>
          <w:b w:val="false"/>
          <w:bCs w:val="false"/>
          <w:i/>
          <w:iCs/>
        </w:rPr>
        <w:t>comment</w:t>
      </w:r>
      <w:r>
        <w:rPr>
          <w:b w:val="false"/>
          <w:bCs w:val="false"/>
        </w:rPr>
        <w:t>”.</w:t>
      </w:r>
    </w:p>
    <w:p>
      <w:pPr>
        <w:pStyle w:val="BodyText"/>
        <w:bidi w:val="0"/>
        <w:jc w:val="start"/>
        <w:rPr>
          <w:b w:val="false"/>
          <w:bCs w:val="false"/>
        </w:rPr>
      </w:pPr>
      <w:r>
        <w:rPr>
          <w:b w:val="false"/>
          <w:bCs w:val="false"/>
        </w:rPr>
        <w:t xml:space="preserve">Dans Système F, la </w:t>
      </w:r>
      <w:r>
        <w:rPr>
          <w:b w:val="false"/>
          <w:bCs w:val="false"/>
          <w:i/>
          <w:iCs/>
        </w:rPr>
        <w:t>cratialité</w:t>
      </w:r>
      <w:r>
        <w:rPr>
          <w:b w:val="false"/>
          <w:bCs w:val="false"/>
        </w:rPr>
        <w:t xml:space="preserve"> se déploie dans :</w:t>
      </w:r>
    </w:p>
    <w:p>
      <w:pPr>
        <w:pStyle w:val="BodyText"/>
        <w:numPr>
          <w:ilvl w:val="0"/>
          <w:numId w:val="4"/>
        </w:numPr>
        <w:tabs>
          <w:tab w:val="left" w:pos="1418" w:leader="none"/>
        </w:tabs>
        <w:bidi w:val="0"/>
        <w:ind w:hanging="283" w:start="709"/>
        <w:jc w:val="start"/>
        <w:rPr/>
      </w:pPr>
      <w:r>
        <w:rPr>
          <w:b w:val="false"/>
          <w:bCs w:val="false"/>
        </w:rPr>
        <w:t xml:space="preserve">les </w:t>
      </w:r>
      <w:r>
        <w:rPr>
          <w:rStyle w:val="Strong"/>
          <w:b w:val="false"/>
          <w:bCs w:val="false"/>
          <w:i/>
          <w:iCs/>
        </w:rPr>
        <w:t>données</w:t>
      </w:r>
      <w:r>
        <w:rPr>
          <w:b w:val="false"/>
          <w:bCs w:val="false"/>
          <w:i/>
          <w:iCs/>
        </w:rPr>
        <w:t xml:space="preserve"> mobilisées</w:t>
      </w:r>
      <w:r>
        <w:rPr>
          <w:b w:val="false"/>
          <w:bCs w:val="false"/>
        </w:rPr>
        <w:t xml:space="preserve"> (dossiers fiscaux, historiques de soins, casiers judiciaires, CV, contenus de plateformes) ;</w:t>
      </w:r>
    </w:p>
    <w:p>
      <w:pPr>
        <w:pStyle w:val="BodyText"/>
        <w:numPr>
          <w:ilvl w:val="0"/>
          <w:numId w:val="4"/>
        </w:numPr>
        <w:tabs>
          <w:tab w:val="left" w:pos="1418" w:leader="none"/>
        </w:tabs>
        <w:bidi w:val="0"/>
        <w:ind w:hanging="283" w:start="709"/>
        <w:jc w:val="start"/>
        <w:rPr/>
      </w:pPr>
      <w:r>
        <w:rPr>
          <w:b w:val="false"/>
          <w:bCs w:val="false"/>
        </w:rPr>
        <w:t xml:space="preserve">les </w:t>
      </w:r>
      <w:r>
        <w:rPr>
          <w:rStyle w:val="Strong"/>
          <w:b w:val="false"/>
          <w:bCs w:val="false"/>
          <w:i/>
          <w:iCs/>
        </w:rPr>
        <w:t>pipelines</w:t>
      </w:r>
      <w:r>
        <w:rPr>
          <w:b w:val="false"/>
          <w:bCs w:val="false"/>
        </w:rPr>
        <w:t xml:space="preserve"> qui transforment des situations complexes en vecteurs numériques ;</w:t>
      </w:r>
    </w:p>
    <w:p>
      <w:pPr>
        <w:pStyle w:val="BodyText"/>
        <w:numPr>
          <w:ilvl w:val="0"/>
          <w:numId w:val="4"/>
        </w:numPr>
        <w:tabs>
          <w:tab w:val="left" w:pos="1418" w:leader="none"/>
        </w:tabs>
        <w:bidi w:val="0"/>
        <w:ind w:hanging="283" w:start="709"/>
        <w:jc w:val="start"/>
        <w:rPr/>
      </w:pPr>
      <w:r>
        <w:rPr>
          <w:b w:val="false"/>
          <w:bCs w:val="false"/>
        </w:rPr>
        <w:t xml:space="preserve">les </w:t>
      </w:r>
      <w:r>
        <w:rPr>
          <w:rStyle w:val="Strong"/>
          <w:b w:val="false"/>
          <w:bCs w:val="false"/>
          <w:i/>
          <w:iCs/>
        </w:rPr>
        <w:t>modèles</w:t>
      </w:r>
      <w:r>
        <w:rPr>
          <w:b w:val="false"/>
          <w:bCs w:val="false"/>
        </w:rPr>
        <w:t xml:space="preserve"> eux-mêmes (architectures, paramètres, fonctions de coût, seuils de décision) ;</w:t>
      </w:r>
    </w:p>
    <w:p>
      <w:pPr>
        <w:pStyle w:val="BodyText"/>
        <w:numPr>
          <w:ilvl w:val="0"/>
          <w:numId w:val="4"/>
        </w:numPr>
        <w:tabs>
          <w:tab w:val="left" w:pos="1418" w:leader="none"/>
        </w:tabs>
        <w:bidi w:val="0"/>
        <w:ind w:hanging="283" w:start="709"/>
        <w:jc w:val="start"/>
        <w:rPr/>
      </w:pPr>
      <w:r>
        <w:rPr>
          <w:b w:val="false"/>
          <w:bCs w:val="false"/>
        </w:rPr>
        <w:t xml:space="preserve">les </w:t>
      </w:r>
      <w:r>
        <w:rPr>
          <w:rStyle w:val="Strong"/>
          <w:b w:val="false"/>
          <w:bCs w:val="false"/>
          <w:i/>
          <w:iCs/>
        </w:rPr>
        <w:t>interfaces</w:t>
      </w:r>
      <w:r>
        <w:rPr>
          <w:b w:val="false"/>
          <w:bCs w:val="false"/>
        </w:rPr>
        <w:t xml:space="preserve"> (tableaux de bord, scores de risque, codes couleur, messages d’alerte) ;</w:t>
      </w:r>
    </w:p>
    <w:p>
      <w:pPr>
        <w:pStyle w:val="BodyText"/>
        <w:numPr>
          <w:ilvl w:val="0"/>
          <w:numId w:val="4"/>
        </w:numPr>
        <w:tabs>
          <w:tab w:val="left" w:pos="1418" w:leader="none"/>
        </w:tabs>
        <w:bidi w:val="0"/>
        <w:ind w:hanging="283" w:start="709"/>
        <w:jc w:val="start"/>
        <w:rPr/>
      </w:pPr>
      <w:r>
        <w:rPr>
          <w:b w:val="false"/>
          <w:bCs w:val="false"/>
        </w:rPr>
        <w:t xml:space="preserve">les </w:t>
      </w:r>
      <w:r>
        <w:rPr>
          <w:rStyle w:val="Strong"/>
          <w:b w:val="false"/>
          <w:bCs w:val="false"/>
          <w:i/>
          <w:iCs/>
        </w:rPr>
        <w:t>procédures d’intégration</w:t>
      </w:r>
      <w:r>
        <w:rPr>
          <w:b w:val="false"/>
          <w:bCs w:val="false"/>
        </w:rPr>
        <w:t xml:space="preserve"> (règles internes qui imposent de suivre la recommandation ou d’en justifier tout écart).</w:t>
      </w:r>
    </w:p>
    <w:p>
      <w:pPr>
        <w:pStyle w:val="BodyText"/>
        <w:bidi w:val="0"/>
        <w:jc w:val="start"/>
        <w:rPr>
          <w:b w:val="false"/>
          <w:bCs w:val="false"/>
        </w:rPr>
      </w:pPr>
      <w:r>
        <w:rPr>
          <w:b w:val="false"/>
          <w:bCs w:val="false"/>
          <w:i/>
          <w:iCs/>
        </w:rPr>
        <w:t>Cratialité</w:t>
      </w:r>
      <w:r>
        <w:rPr>
          <w:b w:val="false"/>
          <w:bCs w:val="false"/>
        </w:rPr>
        <w:t xml:space="preserve"> n’est pas synonyme de “technique” : elle inclut aussi les </w:t>
      </w:r>
      <w:r>
        <w:rPr>
          <w:b w:val="false"/>
          <w:bCs w:val="false"/>
          <w:i/>
          <w:iCs/>
        </w:rPr>
        <w:t>règles organisationnelles</w:t>
      </w:r>
      <w:r>
        <w:rPr>
          <w:b w:val="false"/>
          <w:bCs w:val="false"/>
        </w:rPr>
        <w:t xml:space="preserve">, les </w:t>
      </w:r>
      <w:r>
        <w:rPr>
          <w:b w:val="false"/>
          <w:bCs w:val="false"/>
          <w:i/>
          <w:iCs/>
        </w:rPr>
        <w:t>consignes</w:t>
      </w:r>
      <w:r>
        <w:rPr>
          <w:b w:val="false"/>
          <w:bCs w:val="false"/>
        </w:rPr>
        <w:t xml:space="preserve">, les </w:t>
      </w:r>
      <w:r>
        <w:rPr>
          <w:b w:val="false"/>
          <w:bCs w:val="false"/>
          <w:i/>
          <w:iCs/>
        </w:rPr>
        <w:t>scripts de travail</w:t>
      </w:r>
      <w:r>
        <w:rPr>
          <w:b w:val="false"/>
          <w:bCs w:val="false"/>
        </w:rPr>
        <w:t>. L’audit archicratique ne se contente pas de repérer les algorithmes ; il suit les chaînes cratiales jusqu’aux guichets, aux tribunaux, aux services hospitaliers, aux départements RH, aux plateformes.</w:t>
      </w:r>
    </w:p>
    <w:p>
      <w:pPr>
        <w:pStyle w:val="Heading2"/>
        <w:keepNext w:val="true"/>
        <w:bidi w:val="0"/>
        <w:jc w:val="start"/>
        <w:rPr/>
      </w:pPr>
      <w:bookmarkStart w:id="3" w:name="__RefHeading___Toc107771_1543575209"/>
      <w:bookmarkEnd w:id="3"/>
      <w:r>
        <w:rPr/>
        <w:t>Archicration</w:t>
      </w:r>
    </w:p>
    <w:p>
      <w:pPr>
        <w:pStyle w:val="BodyText"/>
        <w:bidi w:val="0"/>
        <w:jc w:val="start"/>
        <w:rPr/>
      </w:pPr>
      <w:r>
        <w:rPr>
          <w:b w:val="false"/>
          <w:bCs w:val="false"/>
        </w:rPr>
        <w:t>L’</w:t>
      </w:r>
      <w:r>
        <w:rPr>
          <w:rStyle w:val="Emphasis"/>
          <w:b w:val="false"/>
          <w:bCs w:val="false"/>
        </w:rPr>
        <w:t>archicration</w:t>
      </w:r>
      <w:r>
        <w:rPr>
          <w:b w:val="false"/>
          <w:bCs w:val="false"/>
        </w:rPr>
        <w:t xml:space="preserve"> est le troisième terme du triptyque : elle désigne la </w:t>
      </w:r>
      <w:r>
        <w:rPr>
          <w:rStyle w:val="Strong"/>
          <w:b w:val="false"/>
          <w:bCs w:val="false"/>
          <w:i/>
          <w:iCs/>
        </w:rPr>
        <w:t>scène d’épreuve</w:t>
      </w:r>
      <w:r>
        <w:rPr>
          <w:b w:val="false"/>
          <w:bCs w:val="false"/>
          <w:i/>
          <w:iCs/>
        </w:rPr>
        <w:t xml:space="preserve"> où arcalité et cratialité sont amenées en visibilité, confrontées, mises à l’épreuve et, si nécessaire, transformées</w:t>
      </w:r>
      <w:r>
        <w:rPr>
          <w:b w:val="false"/>
          <w:bCs w:val="false"/>
        </w:rPr>
        <w:t>.</w:t>
      </w:r>
    </w:p>
    <w:p>
      <w:pPr>
        <w:pStyle w:val="BodyText"/>
        <w:bidi w:val="0"/>
        <w:jc w:val="start"/>
        <w:rPr>
          <w:b w:val="false"/>
          <w:bCs w:val="false"/>
        </w:rPr>
      </w:pPr>
      <w:r>
        <w:rPr>
          <w:b w:val="false"/>
          <w:bCs w:val="false"/>
        </w:rPr>
        <w:t>Sans</w:t>
      </w:r>
      <w:r>
        <w:rPr>
          <w:b w:val="false"/>
          <w:bCs w:val="false"/>
          <w:i/>
          <w:iCs/>
        </w:rPr>
        <w:t xml:space="preserve"> archicration</w:t>
      </w:r>
      <w:r>
        <w:rPr>
          <w:b w:val="false"/>
          <w:bCs w:val="false"/>
        </w:rPr>
        <w:t>, les fondements restent fantômes, et le pouvoir opératoire devient autarcique.</w:t>
      </w:r>
    </w:p>
    <w:p>
      <w:pPr>
        <w:pStyle w:val="BodyText"/>
        <w:bidi w:val="0"/>
        <w:jc w:val="start"/>
        <w:rPr>
          <w:b w:val="false"/>
          <w:bCs w:val="false"/>
        </w:rPr>
      </w:pPr>
      <w:r>
        <w:rPr>
          <w:b w:val="false"/>
          <w:bCs w:val="false"/>
        </w:rPr>
        <w:t xml:space="preserve">Une </w:t>
      </w:r>
      <w:r>
        <w:rPr>
          <w:b w:val="false"/>
          <w:bCs w:val="false"/>
          <w:i/>
          <w:iCs/>
        </w:rPr>
        <w:t>archicration</w:t>
      </w:r>
      <w:r>
        <w:rPr>
          <w:b w:val="false"/>
          <w:bCs w:val="false"/>
        </w:rPr>
        <w:t xml:space="preserve"> digne de ce nom réunit quatre conditions minimales :</w:t>
      </w:r>
    </w:p>
    <w:p>
      <w:pPr>
        <w:pStyle w:val="BodyText"/>
        <w:numPr>
          <w:ilvl w:val="0"/>
          <w:numId w:val="5"/>
        </w:numPr>
        <w:tabs>
          <w:tab w:val="left" w:pos="1418" w:leader="none"/>
        </w:tabs>
        <w:bidi w:val="0"/>
        <w:ind w:hanging="283" w:start="709"/>
        <w:jc w:val="start"/>
        <w:rPr/>
      </w:pPr>
      <w:r>
        <w:rPr>
          <w:rStyle w:val="Strong"/>
          <w:b w:val="false"/>
          <w:bCs w:val="false"/>
          <w:i/>
          <w:iCs/>
        </w:rPr>
        <w:t>Public(s) concerné(s)</w:t>
      </w:r>
      <w:r>
        <w:rPr>
          <w:b w:val="false"/>
          <w:bCs w:val="false"/>
          <w:i/>
          <w:iCs/>
        </w:rPr>
        <w:t xml:space="preserve"> effectivement représentés</w:t>
      </w:r>
      <w:r>
        <w:rPr>
          <w:b w:val="false"/>
          <w:bCs w:val="false"/>
        </w:rPr>
        <w:t xml:space="preserve"> (et pas seulement des experts parlant “en leur nom”) ;</w:t>
      </w:r>
    </w:p>
    <w:p>
      <w:pPr>
        <w:pStyle w:val="BodyText"/>
        <w:numPr>
          <w:ilvl w:val="0"/>
          <w:numId w:val="5"/>
        </w:numPr>
        <w:tabs>
          <w:tab w:val="left" w:pos="1418" w:leader="none"/>
        </w:tabs>
        <w:bidi w:val="0"/>
        <w:ind w:hanging="283" w:start="709"/>
        <w:jc w:val="start"/>
        <w:rPr/>
      </w:pPr>
      <w:r>
        <w:rPr>
          <w:rStyle w:val="Strong"/>
          <w:b w:val="false"/>
          <w:bCs w:val="false"/>
          <w:i/>
          <w:iCs/>
        </w:rPr>
        <w:t>Accès aux prises</w:t>
      </w:r>
      <w:r>
        <w:rPr>
          <w:b w:val="false"/>
          <w:bCs w:val="false"/>
        </w:rPr>
        <w:t xml:space="preserve"> : connaissance minimale des arcalités à l’œuvre (valeurs, finalités, proxies, fonctions de coût) et des cratialités (chaînes techniques, procédures, interfaces) ;</w:t>
      </w:r>
    </w:p>
    <w:p>
      <w:pPr>
        <w:pStyle w:val="BodyText"/>
        <w:numPr>
          <w:ilvl w:val="0"/>
          <w:numId w:val="5"/>
        </w:numPr>
        <w:tabs>
          <w:tab w:val="left" w:pos="1418" w:leader="none"/>
        </w:tabs>
        <w:bidi w:val="0"/>
        <w:ind w:hanging="283" w:start="709"/>
        <w:jc w:val="start"/>
        <w:rPr/>
      </w:pPr>
      <w:r>
        <w:rPr>
          <w:rStyle w:val="Strong"/>
          <w:b w:val="false"/>
          <w:bCs w:val="false"/>
          <w:i/>
          <w:iCs/>
        </w:rPr>
        <w:t>Capacité de contestation</w:t>
      </w:r>
      <w:r>
        <w:rPr>
          <w:b w:val="false"/>
          <w:bCs w:val="false"/>
        </w:rPr>
        <w:t xml:space="preserve"> : possibilité d’interpeller les choix, de demander des modifications, de suspendre un dispositif ;</w:t>
      </w:r>
    </w:p>
    <w:p>
      <w:pPr>
        <w:pStyle w:val="BodyText"/>
        <w:numPr>
          <w:ilvl w:val="0"/>
          <w:numId w:val="5"/>
        </w:numPr>
        <w:tabs>
          <w:tab w:val="left" w:pos="1418" w:leader="none"/>
        </w:tabs>
        <w:bidi w:val="0"/>
        <w:ind w:hanging="283" w:start="709"/>
        <w:jc w:val="start"/>
        <w:rPr/>
      </w:pPr>
      <w:r>
        <w:rPr>
          <w:rStyle w:val="Strong"/>
          <w:b w:val="false"/>
          <w:bCs w:val="false"/>
          <w:i/>
          <w:iCs/>
        </w:rPr>
        <w:t>Effet réel</w:t>
      </w:r>
      <w:r>
        <w:rPr>
          <w:b w:val="false"/>
          <w:bCs w:val="false"/>
        </w:rPr>
        <w:t xml:space="preserve"> : ce qui se dit sur la scène peut produire des transformations sur le système, pas seulement un “avis” consultatif.</w:t>
      </w:r>
    </w:p>
    <w:p>
      <w:pPr>
        <w:pStyle w:val="BodyText"/>
        <w:bidi w:val="0"/>
        <w:jc w:val="start"/>
        <w:rPr/>
      </w:pPr>
      <w:r>
        <w:rPr>
          <w:b w:val="false"/>
          <w:bCs w:val="false"/>
        </w:rPr>
        <w:t xml:space="preserve">Dans Système F, la plupart des dispositifs existants – comités d’éthique, audits de biais, formulaires de recours – n’atteignent pas ce seuil : ce sont des </w:t>
      </w:r>
      <w:r>
        <w:rPr>
          <w:rStyle w:val="Strong"/>
          <w:b w:val="false"/>
          <w:bCs w:val="false"/>
          <w:i/>
          <w:iCs/>
        </w:rPr>
        <w:t>archicrations fantômes</w:t>
      </w:r>
      <w:r>
        <w:rPr>
          <w:b w:val="false"/>
          <w:bCs w:val="false"/>
        </w:rPr>
        <w:t>, qui donnent l’allure de la scène sans en avoir la puissance.</w:t>
      </w:r>
    </w:p>
    <w:p>
      <w:pPr>
        <w:pStyle w:val="Heading2"/>
        <w:keepNext w:val="true"/>
        <w:bidi w:val="0"/>
        <w:jc w:val="start"/>
        <w:rPr/>
      </w:pPr>
      <w:bookmarkStart w:id="4" w:name="__RefHeading___Toc107773_1543575209"/>
      <w:bookmarkEnd w:id="4"/>
      <w:r>
        <w:rPr/>
        <w:t>Hypotopie, hypertopie, atopie</w:t>
      </w:r>
    </w:p>
    <w:p>
      <w:pPr>
        <w:pStyle w:val="BodyText"/>
        <w:bidi w:val="0"/>
        <w:jc w:val="start"/>
        <w:rPr/>
      </w:pPr>
      <w:r>
        <w:rPr>
          <w:b w:val="false"/>
          <w:bCs w:val="false"/>
        </w:rPr>
        <w:t xml:space="preserve">Ces trois termes qualifient la </w:t>
      </w:r>
      <w:r>
        <w:rPr>
          <w:rStyle w:val="Strong"/>
          <w:b w:val="false"/>
          <w:bCs w:val="false"/>
        </w:rPr>
        <w:t>topologie des scènes</w:t>
      </w:r>
      <w:r>
        <w:rPr>
          <w:b w:val="false"/>
          <w:bCs w:val="false"/>
        </w:rPr>
        <w:t xml:space="preserve"> où la régulation IA apparaît (ou disparaît).</w:t>
      </w:r>
    </w:p>
    <w:p>
      <w:pPr>
        <w:pStyle w:val="BodyText"/>
        <w:numPr>
          <w:ilvl w:val="0"/>
          <w:numId w:val="6"/>
        </w:numPr>
        <w:tabs>
          <w:tab w:val="left" w:pos="1418" w:leader="none"/>
        </w:tabs>
        <w:bidi w:val="0"/>
        <w:ind w:hanging="283" w:start="709"/>
        <w:jc w:val="start"/>
        <w:rPr/>
      </w:pPr>
      <w:r>
        <w:rPr>
          <w:b w:val="false"/>
          <w:bCs w:val="false"/>
        </w:rPr>
        <w:t xml:space="preserve">Une </w:t>
      </w:r>
      <w:r>
        <w:rPr>
          <w:rStyle w:val="Strong"/>
          <w:b w:val="false"/>
          <w:bCs w:val="false"/>
          <w:i/>
          <w:iCs/>
        </w:rPr>
        <w:t>hypotopie</w:t>
      </w:r>
      <w:r>
        <w:rPr>
          <w:b w:val="false"/>
          <w:bCs w:val="false"/>
        </w:rPr>
        <w:t xml:space="preserve"> est une </w:t>
      </w:r>
      <w:r>
        <w:rPr>
          <w:b w:val="false"/>
          <w:bCs w:val="false"/>
          <w:i/>
          <w:iCs/>
        </w:rPr>
        <w:t xml:space="preserve">scène </w:t>
      </w:r>
      <w:r>
        <w:rPr>
          <w:rStyle w:val="Strong"/>
          <w:b w:val="false"/>
          <w:bCs w:val="false"/>
          <w:i/>
          <w:iCs/>
        </w:rPr>
        <w:t>pauvre en prises</w:t>
      </w:r>
      <w:r>
        <w:rPr>
          <w:b w:val="false"/>
          <w:bCs w:val="false"/>
          <w:i/>
          <w:iCs/>
        </w:rPr>
        <w:t>, faiblement outillée, où les gens peuvent parler mais sans pouvoir effectivement infléchir la régulation</w:t>
      </w:r>
      <w:r>
        <w:rPr>
          <w:b w:val="false"/>
          <w:bCs w:val="false"/>
        </w:rPr>
        <w:t>. Par exemple : un usager qui discute avec un agent de caisse sociale d’une décision prise en réalité par Système F, sans accès ni aux paramètres ni aux logs ; un formulaire de recours tellement opaque et lourd qu’il décourage toute contestation.</w:t>
      </w:r>
    </w:p>
    <w:p>
      <w:pPr>
        <w:pStyle w:val="BodyText"/>
        <w:numPr>
          <w:ilvl w:val="0"/>
          <w:numId w:val="6"/>
        </w:numPr>
        <w:tabs>
          <w:tab w:val="left" w:pos="1418" w:leader="none"/>
        </w:tabs>
        <w:bidi w:val="0"/>
        <w:ind w:hanging="283" w:start="709"/>
        <w:jc w:val="start"/>
        <w:rPr/>
      </w:pPr>
      <w:r>
        <w:rPr>
          <w:b w:val="false"/>
          <w:bCs w:val="false"/>
        </w:rPr>
        <w:t xml:space="preserve">Une </w:t>
      </w:r>
      <w:r>
        <w:rPr>
          <w:rStyle w:val="Strong"/>
          <w:b w:val="false"/>
          <w:bCs w:val="false"/>
          <w:i/>
          <w:iCs/>
        </w:rPr>
        <w:t>hypertopie</w:t>
      </w:r>
      <w:r>
        <w:rPr>
          <w:b w:val="false"/>
          <w:bCs w:val="false"/>
        </w:rPr>
        <w:t xml:space="preserve"> est une </w:t>
      </w:r>
      <w:r>
        <w:rPr>
          <w:b w:val="false"/>
          <w:bCs w:val="false"/>
          <w:i/>
          <w:iCs/>
        </w:rPr>
        <w:t xml:space="preserve">scène </w:t>
      </w:r>
      <w:r>
        <w:rPr>
          <w:rStyle w:val="Strong"/>
          <w:b w:val="false"/>
          <w:bCs w:val="false"/>
          <w:i/>
          <w:iCs/>
        </w:rPr>
        <w:t>surdotée à huit-clos</w:t>
      </w:r>
      <w:r>
        <w:rPr>
          <w:b w:val="false"/>
          <w:bCs w:val="false"/>
        </w:rPr>
        <w:t xml:space="preserve"> : tout s’y joue – paramètres, seuils, choix de déploiement – mais entre un nombre très limité d’acteurs (directions, ingénieurs, juristes, consultants). </w:t>
      </w:r>
      <w:r>
        <w:rPr>
          <w:b w:val="false"/>
          <w:bCs w:val="false"/>
          <w:i/>
          <w:iCs/>
        </w:rPr>
        <w:t>Les comités de pilotage où l’on décide d’intégrer ou non Système F dans la chaîne de décision, les réunions de design des modèles sont souvent des hypertopies</w:t>
      </w:r>
      <w:r>
        <w:rPr>
          <w:b w:val="false"/>
          <w:bCs w:val="false"/>
        </w:rPr>
        <w:t>.</w:t>
      </w:r>
    </w:p>
    <w:p>
      <w:pPr>
        <w:pStyle w:val="BodyText"/>
        <w:numPr>
          <w:ilvl w:val="0"/>
          <w:numId w:val="6"/>
        </w:numPr>
        <w:tabs>
          <w:tab w:val="left" w:pos="1418" w:leader="none"/>
        </w:tabs>
        <w:bidi w:val="0"/>
        <w:ind w:hanging="283" w:start="709"/>
        <w:jc w:val="start"/>
        <w:rPr/>
      </w:pPr>
      <w:r>
        <w:rPr>
          <w:b w:val="false"/>
          <w:bCs w:val="false"/>
        </w:rPr>
        <w:t xml:space="preserve">Une </w:t>
      </w:r>
      <w:r>
        <w:rPr>
          <w:rStyle w:val="Strong"/>
          <w:b w:val="false"/>
          <w:bCs w:val="false"/>
          <w:i/>
          <w:iCs/>
        </w:rPr>
        <w:t>atopie</w:t>
      </w:r>
      <w:r>
        <w:rPr>
          <w:b w:val="false"/>
          <w:bCs w:val="false"/>
        </w:rPr>
        <w:t xml:space="preserve"> est une </w:t>
      </w:r>
      <w:r>
        <w:rPr>
          <w:b w:val="false"/>
          <w:bCs w:val="false"/>
          <w:i/>
          <w:iCs/>
        </w:rPr>
        <w:t xml:space="preserve">scène </w:t>
      </w:r>
      <w:r>
        <w:rPr>
          <w:rStyle w:val="Strong"/>
          <w:b w:val="false"/>
          <w:bCs w:val="false"/>
          <w:i/>
          <w:iCs/>
        </w:rPr>
        <w:t>fantomatique</w:t>
      </w:r>
      <w:r>
        <w:rPr>
          <w:b w:val="false"/>
          <w:bCs w:val="false"/>
        </w:rPr>
        <w:t xml:space="preserve"> : elle mime le dispositif d’épreuve, sans donner prise réelle. Consultations publiques en ligne sans impact, “boîtes à idées” numériques, mécanismes de </w:t>
      </w:r>
      <w:r>
        <w:rPr>
          <w:b w:val="false"/>
          <w:bCs w:val="false"/>
          <w:i/>
          <w:iCs/>
        </w:rPr>
        <w:t>feedback</w:t>
      </w:r>
      <w:r>
        <w:rPr>
          <w:b w:val="false"/>
          <w:bCs w:val="false"/>
        </w:rPr>
        <w:t xml:space="preserve"> qui alimentent surtout des métriques internes (satisfaction, engagement) sans reconfigurer la régulation.</w:t>
      </w:r>
    </w:p>
    <w:p>
      <w:pPr>
        <w:pStyle w:val="BodyText"/>
        <w:bidi w:val="0"/>
        <w:jc w:val="start"/>
        <w:rPr>
          <w:b w:val="false"/>
          <w:bCs w:val="false"/>
        </w:rPr>
      </w:pPr>
      <w:r>
        <w:rPr>
          <w:b w:val="false"/>
          <w:bCs w:val="false"/>
        </w:rPr>
        <w:t xml:space="preserve">L’épreuve topologique, dans le cas IA, consiste à cartographier où se trouvent les </w:t>
      </w:r>
      <w:r>
        <w:rPr>
          <w:b w:val="false"/>
          <w:bCs w:val="false"/>
          <w:i/>
          <w:iCs/>
        </w:rPr>
        <w:t>hypotopies, hypertopies, atopies</w:t>
      </w:r>
      <w:r>
        <w:rPr>
          <w:b w:val="false"/>
          <w:bCs w:val="false"/>
        </w:rPr>
        <w:t>, et à inventer des scènes nouvelles qui rééquilibrent cette topologie.</w:t>
      </w:r>
    </w:p>
    <w:p>
      <w:pPr>
        <w:pStyle w:val="Heading2"/>
        <w:keepNext w:val="true"/>
        <w:bidi w:val="0"/>
        <w:jc w:val="start"/>
        <w:rPr/>
      </w:pPr>
      <w:bookmarkStart w:id="5" w:name="__RefHeading___Toc107775_1543575209"/>
      <w:bookmarkEnd w:id="5"/>
      <w:r>
        <w:rPr/>
        <w:t>Autarchicratie</w:t>
      </w:r>
    </w:p>
    <w:p>
      <w:pPr>
        <w:pStyle w:val="BodyText"/>
        <w:bidi w:val="0"/>
        <w:jc w:val="start"/>
        <w:rPr/>
      </w:pPr>
      <w:r>
        <w:rPr>
          <w:b w:val="false"/>
          <w:bCs w:val="false"/>
        </w:rPr>
        <w:t>L’</w:t>
      </w:r>
      <w:r>
        <w:rPr>
          <w:rStyle w:val="Emphasis"/>
          <w:b w:val="false"/>
          <w:bCs w:val="false"/>
        </w:rPr>
        <w:t>autarchicratie</w:t>
      </w:r>
      <w:r>
        <w:rPr>
          <w:b w:val="false"/>
          <w:bCs w:val="false"/>
        </w:rPr>
        <w:t xml:space="preserve"> désigne un régime où la régulation devient </w:t>
      </w:r>
      <w:r>
        <w:rPr>
          <w:rStyle w:val="Strong"/>
          <w:b w:val="false"/>
          <w:bCs w:val="false"/>
        </w:rPr>
        <w:t>son propre souverain</w:t>
      </w:r>
      <w:r>
        <w:rPr>
          <w:b w:val="false"/>
          <w:bCs w:val="false"/>
        </w:rPr>
        <w:t xml:space="preserve"> : les dispositifs de mesure, de modélisation et de contrôle se gouvernent eux-mêmes à partir de leurs propres métriques, et ne reconnaissent plus que très marginalement des scènes externes d’épreuve.</w:t>
      </w:r>
    </w:p>
    <w:p>
      <w:pPr>
        <w:pStyle w:val="BodyText"/>
        <w:bidi w:val="0"/>
        <w:jc w:val="start"/>
        <w:rPr>
          <w:b w:val="false"/>
          <w:bCs w:val="false"/>
        </w:rPr>
      </w:pPr>
      <w:r>
        <w:rPr>
          <w:b w:val="false"/>
          <w:bCs w:val="false"/>
        </w:rPr>
        <w:t>Dans Système F, l’</w:t>
      </w:r>
      <w:r>
        <w:rPr>
          <w:b w:val="false"/>
          <w:bCs w:val="false"/>
          <w:i/>
          <w:iCs/>
        </w:rPr>
        <w:t>autarchicratie</w:t>
      </w:r>
      <w:r>
        <w:rPr>
          <w:b w:val="false"/>
          <w:bCs w:val="false"/>
        </w:rPr>
        <w:t xml:space="preserve"> prend plusieurs formes :</w:t>
      </w:r>
    </w:p>
    <w:p>
      <w:pPr>
        <w:pStyle w:val="BodyText"/>
        <w:numPr>
          <w:ilvl w:val="0"/>
          <w:numId w:val="7"/>
        </w:numPr>
        <w:tabs>
          <w:tab w:val="left" w:pos="1418" w:leader="none"/>
        </w:tabs>
        <w:bidi w:val="0"/>
        <w:ind w:hanging="283" w:start="709"/>
        <w:jc w:val="start"/>
        <w:rPr>
          <w:b w:val="false"/>
          <w:bCs w:val="false"/>
        </w:rPr>
      </w:pPr>
      <w:r>
        <w:rPr>
          <w:b w:val="false"/>
          <w:bCs w:val="false"/>
          <w:i/>
          <w:iCs/>
        </w:rPr>
        <w:t>modèles évalués principalement par leurs métriques internes</w:t>
      </w:r>
      <w:r>
        <w:rPr>
          <w:b w:val="false"/>
          <w:bCs w:val="false"/>
        </w:rPr>
        <w:t xml:space="preserve"> (perte, précision, indicateurs d’équité) ;</w:t>
      </w:r>
    </w:p>
    <w:p>
      <w:pPr>
        <w:pStyle w:val="BodyText"/>
        <w:numPr>
          <w:ilvl w:val="0"/>
          <w:numId w:val="7"/>
        </w:numPr>
        <w:tabs>
          <w:tab w:val="left" w:pos="1418" w:leader="none"/>
        </w:tabs>
        <w:bidi w:val="0"/>
        <w:ind w:hanging="283" w:start="709"/>
        <w:jc w:val="start"/>
        <w:rPr>
          <w:b w:val="false"/>
          <w:bCs w:val="false"/>
        </w:rPr>
      </w:pPr>
      <w:r>
        <w:rPr>
          <w:b w:val="false"/>
          <w:bCs w:val="false"/>
          <w:i/>
          <w:iCs/>
        </w:rPr>
        <w:t>dispositifs d’auto-audit et de reporting automatisé</w:t>
      </w:r>
      <w:r>
        <w:rPr>
          <w:b w:val="false"/>
          <w:bCs w:val="false"/>
        </w:rPr>
        <w:t xml:space="preserve"> qui servent de preuve de “responsabilité” sans ouvrir réellement le système à la contestation ;</w:t>
      </w:r>
    </w:p>
    <w:p>
      <w:pPr>
        <w:pStyle w:val="BodyText"/>
        <w:numPr>
          <w:ilvl w:val="0"/>
          <w:numId w:val="7"/>
        </w:numPr>
        <w:tabs>
          <w:tab w:val="left" w:pos="1418" w:leader="none"/>
        </w:tabs>
        <w:bidi w:val="0"/>
        <w:ind w:hanging="283" w:start="709"/>
        <w:jc w:val="start"/>
        <w:rPr>
          <w:b w:val="false"/>
          <w:bCs w:val="false"/>
        </w:rPr>
      </w:pPr>
      <w:r>
        <w:rPr>
          <w:b w:val="false"/>
          <w:bCs w:val="false"/>
          <w:i/>
          <w:iCs/>
        </w:rPr>
        <w:t>boucles de rétroaction fermées</w:t>
      </w:r>
      <w:r>
        <w:rPr>
          <w:b w:val="false"/>
          <w:bCs w:val="false"/>
        </w:rPr>
        <w:t xml:space="preserve"> où les décisions passées alimentent les données futures (ceux que le système considère comme “à risque” seront davantage contrôlés, et donc produiront plus de “preuves” de risque).</w:t>
      </w:r>
    </w:p>
    <w:p>
      <w:pPr>
        <w:pStyle w:val="BodyText"/>
        <w:bidi w:val="0"/>
        <w:jc w:val="start"/>
        <w:rPr>
          <w:b w:val="false"/>
          <w:bCs w:val="false"/>
        </w:rPr>
      </w:pPr>
      <w:r>
        <w:rPr>
          <w:b w:val="false"/>
          <w:bCs w:val="false"/>
        </w:rPr>
        <w:t>L’</w:t>
      </w:r>
      <w:r>
        <w:rPr>
          <w:b w:val="false"/>
          <w:bCs w:val="false"/>
          <w:i/>
          <w:iCs/>
        </w:rPr>
        <w:t>autarchicratie</w:t>
      </w:r>
      <w:r>
        <w:rPr>
          <w:b w:val="false"/>
          <w:bCs w:val="false"/>
        </w:rPr>
        <w:t xml:space="preserve"> est l’exact négatif de l’</w:t>
      </w:r>
      <w:r>
        <w:rPr>
          <w:b w:val="false"/>
          <w:bCs w:val="false"/>
          <w:i/>
          <w:iCs/>
        </w:rPr>
        <w:t>archicratie</w:t>
      </w:r>
      <w:r>
        <w:rPr>
          <w:b w:val="false"/>
          <w:bCs w:val="false"/>
        </w:rPr>
        <w:t xml:space="preserve"> : </w:t>
      </w:r>
      <w:r>
        <w:rPr>
          <w:b w:val="false"/>
          <w:bCs w:val="false"/>
          <w:i/>
          <w:iCs/>
        </w:rPr>
        <w:t>là où l’archicratie multiplie les scènes d’épreuve, l’autarchicratie les marginalise ou les simule</w:t>
      </w:r>
      <w:r>
        <w:rPr>
          <w:b w:val="false"/>
          <w:bCs w:val="false"/>
        </w:rPr>
        <w:t>.</w:t>
      </w:r>
    </w:p>
    <w:p>
      <w:pPr>
        <w:pStyle w:val="Heading2"/>
        <w:keepNext w:val="true"/>
        <w:bidi w:val="0"/>
        <w:jc w:val="start"/>
        <w:rPr/>
      </w:pPr>
      <w:bookmarkStart w:id="6" w:name="__RefHeading___Toc107777_1543575209"/>
      <w:bookmarkEnd w:id="6"/>
      <w:r>
        <w:rPr/>
        <w:t>Co-viabilité</w:t>
      </w:r>
    </w:p>
    <w:p>
      <w:pPr>
        <w:pStyle w:val="BodyText"/>
        <w:bidi w:val="0"/>
        <w:jc w:val="start"/>
        <w:rPr/>
      </w:pPr>
      <w:r>
        <w:rPr>
          <w:b w:val="false"/>
          <w:bCs w:val="false"/>
        </w:rPr>
        <w:t xml:space="preserve">Par </w:t>
      </w:r>
      <w:r>
        <w:rPr>
          <w:rStyle w:val="Emphasis"/>
          <w:b w:val="false"/>
          <w:bCs w:val="false"/>
        </w:rPr>
        <w:t>co-viabilité</w:t>
      </w:r>
      <w:r>
        <w:rPr>
          <w:b w:val="false"/>
          <w:bCs w:val="false"/>
        </w:rPr>
        <w:t xml:space="preserve">, on entend la </w:t>
      </w:r>
      <w:r>
        <w:rPr>
          <w:b w:val="false"/>
          <w:bCs w:val="false"/>
          <w:i/>
          <w:iCs/>
        </w:rPr>
        <w:t xml:space="preserve">capacité d’un ordre régulateur à </w:t>
      </w:r>
      <w:r>
        <w:rPr>
          <w:rStyle w:val="Strong"/>
          <w:b w:val="false"/>
          <w:bCs w:val="false"/>
          <w:i/>
          <w:iCs/>
        </w:rPr>
        <w:t>rendre simultanément vivables plusieurs dimensions</w:t>
      </w:r>
      <w:r>
        <w:rPr>
          <w:b w:val="false"/>
          <w:bCs w:val="false"/>
          <w:i/>
          <w:iCs/>
        </w:rPr>
        <w:t xml:space="preserve"> de l’existence</w:t>
      </w:r>
      <w:r>
        <w:rPr>
          <w:b w:val="false"/>
          <w:bCs w:val="false"/>
        </w:rPr>
        <w:t xml:space="preserve"> : sociale, écologique, symbolique, parfois économique.</w:t>
      </w:r>
    </w:p>
    <w:p>
      <w:pPr>
        <w:pStyle w:val="BodyText"/>
        <w:bidi w:val="0"/>
        <w:jc w:val="start"/>
        <w:rPr>
          <w:b w:val="false"/>
          <w:bCs w:val="false"/>
        </w:rPr>
      </w:pPr>
      <w:r>
        <w:rPr>
          <w:b w:val="false"/>
          <w:bCs w:val="false"/>
        </w:rPr>
        <w:t>Dans le cas IA :</w:t>
      </w:r>
    </w:p>
    <w:p>
      <w:pPr>
        <w:pStyle w:val="BodyText"/>
        <w:numPr>
          <w:ilvl w:val="0"/>
          <w:numId w:val="8"/>
        </w:numPr>
        <w:tabs>
          <w:tab w:val="left" w:pos="1418" w:leader="none"/>
        </w:tabs>
        <w:bidi w:val="0"/>
        <w:ind w:hanging="283" w:start="709"/>
        <w:jc w:val="start"/>
        <w:rPr/>
      </w:pPr>
      <w:r>
        <w:rPr>
          <w:b w:val="false"/>
          <w:bCs w:val="false"/>
        </w:rPr>
        <w:t xml:space="preserve">la </w:t>
      </w:r>
      <w:r>
        <w:rPr>
          <w:rStyle w:val="Strong"/>
          <w:b w:val="false"/>
          <w:bCs w:val="false"/>
          <w:i/>
          <w:iCs/>
        </w:rPr>
        <w:t>co-viabilité sociale</w:t>
      </w:r>
      <w:r>
        <w:rPr>
          <w:b w:val="false"/>
          <w:bCs w:val="false"/>
        </w:rPr>
        <w:t xml:space="preserve"> renvoie à l’</w:t>
      </w:r>
      <w:r>
        <w:rPr>
          <w:b w:val="false"/>
          <w:bCs w:val="false"/>
          <w:i/>
          <w:iCs/>
        </w:rPr>
        <w:t>accès aux droits</w:t>
      </w:r>
      <w:r>
        <w:rPr>
          <w:b w:val="false"/>
          <w:bCs w:val="false"/>
        </w:rPr>
        <w:t xml:space="preserve">, à la </w:t>
      </w:r>
      <w:r>
        <w:rPr>
          <w:b w:val="false"/>
          <w:bCs w:val="false"/>
          <w:i/>
          <w:iCs/>
        </w:rPr>
        <w:t>protection contre l’arbitraire</w:t>
      </w:r>
      <w:r>
        <w:rPr>
          <w:b w:val="false"/>
          <w:bCs w:val="false"/>
        </w:rPr>
        <w:t xml:space="preserve">, à la </w:t>
      </w:r>
      <w:r>
        <w:rPr>
          <w:b w:val="false"/>
          <w:bCs w:val="false"/>
          <w:i/>
          <w:iCs/>
        </w:rPr>
        <w:t>dignité des personnes</w:t>
      </w:r>
      <w:r>
        <w:rPr>
          <w:b w:val="false"/>
          <w:bCs w:val="false"/>
        </w:rPr>
        <w:t xml:space="preserve"> (ne pas être réduit à un profil de risque opaque, pouvoir contester une décision qui affecte des prestations, des peines, des soins, un emploi) ;</w:t>
      </w:r>
    </w:p>
    <w:p>
      <w:pPr>
        <w:pStyle w:val="BodyText"/>
        <w:numPr>
          <w:ilvl w:val="0"/>
          <w:numId w:val="8"/>
        </w:numPr>
        <w:tabs>
          <w:tab w:val="left" w:pos="1418" w:leader="none"/>
        </w:tabs>
        <w:bidi w:val="0"/>
        <w:ind w:hanging="283" w:start="709"/>
        <w:jc w:val="start"/>
        <w:rPr/>
      </w:pPr>
      <w:r>
        <w:rPr>
          <w:b w:val="false"/>
          <w:bCs w:val="false"/>
        </w:rPr>
        <w:t xml:space="preserve">la </w:t>
      </w:r>
      <w:r>
        <w:rPr>
          <w:rStyle w:val="Strong"/>
          <w:b w:val="false"/>
          <w:bCs w:val="false"/>
          <w:i/>
          <w:iCs/>
        </w:rPr>
        <w:t>co-viabilité écologique</w:t>
      </w:r>
      <w:r>
        <w:rPr>
          <w:b w:val="false"/>
          <w:bCs w:val="false"/>
        </w:rPr>
        <w:t xml:space="preserve"> concerne les </w:t>
      </w:r>
      <w:r>
        <w:rPr>
          <w:b w:val="false"/>
          <w:bCs w:val="false"/>
          <w:i/>
          <w:iCs/>
        </w:rPr>
        <w:t>coûts matériels de l’infrastructure</w:t>
      </w:r>
      <w:r>
        <w:rPr>
          <w:b w:val="false"/>
          <w:bCs w:val="false"/>
        </w:rPr>
        <w:t xml:space="preserve"> (consommation énergétique, pressions sur les ressources, effets territoriaux des centres de données et des centres d’extraction) et la </w:t>
      </w:r>
      <w:r>
        <w:rPr>
          <w:b w:val="false"/>
          <w:bCs w:val="false"/>
          <w:i/>
          <w:iCs/>
        </w:rPr>
        <w:t>possibilité de les mettre en scène</w:t>
      </w:r>
      <w:r>
        <w:rPr>
          <w:b w:val="false"/>
          <w:bCs w:val="false"/>
        </w:rPr>
        <w:t xml:space="preserve"> ;</w:t>
      </w:r>
    </w:p>
    <w:p>
      <w:pPr>
        <w:pStyle w:val="BodyText"/>
        <w:numPr>
          <w:ilvl w:val="0"/>
          <w:numId w:val="8"/>
        </w:numPr>
        <w:tabs>
          <w:tab w:val="left" w:pos="1418" w:leader="none"/>
        </w:tabs>
        <w:bidi w:val="0"/>
        <w:ind w:hanging="283" w:start="709"/>
        <w:jc w:val="start"/>
        <w:rPr/>
      </w:pPr>
      <w:r>
        <w:rPr>
          <w:b w:val="false"/>
          <w:bCs w:val="false"/>
        </w:rPr>
        <w:t xml:space="preserve">la </w:t>
      </w:r>
      <w:r>
        <w:rPr>
          <w:rStyle w:val="Strong"/>
          <w:b w:val="false"/>
          <w:bCs w:val="false"/>
          <w:i/>
          <w:iCs/>
        </w:rPr>
        <w:t>co-viabilité symbolique</w:t>
      </w:r>
      <w:r>
        <w:rPr>
          <w:b w:val="false"/>
          <w:bCs w:val="false"/>
        </w:rPr>
        <w:t xml:space="preserve"> touche aux </w:t>
      </w:r>
      <w:r>
        <w:rPr>
          <w:b w:val="false"/>
          <w:bCs w:val="false"/>
          <w:i/>
          <w:iCs/>
        </w:rPr>
        <w:t>représentations de la justice, du mérite, du risque, de la vérité</w:t>
      </w:r>
      <w:r>
        <w:rPr>
          <w:b w:val="false"/>
          <w:bCs w:val="false"/>
        </w:rPr>
        <w:t>, et à la manière dont Système F contribue à les figer ou à les rouvrir.</w:t>
      </w:r>
    </w:p>
    <w:p>
      <w:pPr>
        <w:pStyle w:val="BodyText"/>
        <w:bidi w:val="0"/>
        <w:jc w:val="start"/>
        <w:rPr/>
      </w:pPr>
      <w:r>
        <w:rPr>
          <w:b w:val="false"/>
          <w:bCs w:val="false"/>
        </w:rPr>
        <w:t>L’</w:t>
      </w:r>
      <w:r>
        <w:rPr>
          <w:b w:val="false"/>
          <w:bCs w:val="false"/>
          <w:i/>
          <w:iCs/>
        </w:rPr>
        <w:t>épreuve de co-viabilité</w:t>
      </w:r>
      <w:r>
        <w:rPr>
          <w:b w:val="false"/>
          <w:bCs w:val="false"/>
        </w:rPr>
        <w:t xml:space="preserve"> ne se limite donc pas à mesurer des “impacts” ; elle demande : </w:t>
      </w:r>
      <w:r>
        <w:rPr>
          <w:rStyle w:val="Strong"/>
          <w:b w:val="false"/>
          <w:bCs w:val="false"/>
          <w:i/>
          <w:iCs/>
        </w:rPr>
        <w:t>quels types de scènes faut-il instituer pour que ces dimensions puissent être mises en balance, arbitrées et révisées ?</w:t>
      </w:r>
    </w:p>
    <w:p>
      <w:pPr>
        <w:pStyle w:val="Heading2"/>
        <w:keepNext w:val="true"/>
        <w:bidi w:val="0"/>
        <w:jc w:val="start"/>
        <w:rPr/>
      </w:pPr>
      <w:bookmarkStart w:id="7" w:name="__RefHeading___Toc107779_1543575209"/>
      <w:bookmarkEnd w:id="7"/>
      <w:r>
        <w:rPr/>
        <w:t>Politique des épreuves viables</w:t>
      </w:r>
    </w:p>
    <w:p>
      <w:pPr>
        <w:pStyle w:val="BodyText"/>
        <w:bidi w:val="0"/>
        <w:jc w:val="start"/>
        <w:rPr/>
      </w:pPr>
      <w:r>
        <w:rPr>
          <w:b w:val="false"/>
          <w:bCs w:val="false"/>
        </w:rPr>
        <w:t xml:space="preserve">La </w:t>
      </w:r>
      <w:r>
        <w:rPr>
          <w:rStyle w:val="Emphasis"/>
          <w:b w:val="false"/>
          <w:bCs w:val="false"/>
        </w:rPr>
        <w:t>politique des épreuves viables</w:t>
      </w:r>
      <w:r>
        <w:rPr>
          <w:b w:val="false"/>
          <w:bCs w:val="false"/>
        </w:rPr>
        <w:t xml:space="preserve"> est le nom donné à une </w:t>
      </w:r>
      <w:r>
        <w:rPr>
          <w:b w:val="false"/>
          <w:bCs w:val="false"/>
          <w:i/>
          <w:iCs/>
        </w:rPr>
        <w:t xml:space="preserve">orientation normative minimale </w:t>
      </w:r>
      <w:r>
        <w:rPr>
          <w:b w:val="false"/>
          <w:bCs w:val="false"/>
        </w:rPr>
        <w:t xml:space="preserve">: plutôt que de définir un modèle de justice idéal, elle consiste à </w:t>
      </w:r>
      <w:r>
        <w:rPr>
          <w:rStyle w:val="Strong"/>
          <w:b w:val="false"/>
          <w:bCs w:val="false"/>
        </w:rPr>
        <w:t>organiser les épreuves</w:t>
      </w:r>
      <w:r>
        <w:rPr>
          <w:b w:val="false"/>
          <w:bCs w:val="false"/>
        </w:rPr>
        <w:t xml:space="preserve"> auxquelles les dispositifs régulateurs doivent se soumettre pour rester archicratiques.</w:t>
      </w:r>
    </w:p>
    <w:p>
      <w:pPr>
        <w:pStyle w:val="BodyText"/>
        <w:bidi w:val="0"/>
        <w:jc w:val="start"/>
        <w:rPr>
          <w:b w:val="false"/>
          <w:bCs w:val="false"/>
        </w:rPr>
      </w:pPr>
      <w:r>
        <w:rPr>
          <w:b w:val="false"/>
          <w:bCs w:val="false"/>
        </w:rPr>
        <w:t xml:space="preserve">Appliquée à l’IA, elle se traduit par une </w:t>
      </w:r>
      <w:r>
        <w:rPr>
          <w:b w:val="false"/>
          <w:bCs w:val="false"/>
          <w:i/>
          <w:iCs/>
        </w:rPr>
        <w:t>série de gestes concrets</w:t>
      </w:r>
      <w:r>
        <w:rPr>
          <w:b w:val="false"/>
          <w:bCs w:val="false"/>
        </w:rPr>
        <w:t xml:space="preserve"> :</w:t>
      </w:r>
    </w:p>
    <w:p>
      <w:pPr>
        <w:pStyle w:val="BodyText"/>
        <w:numPr>
          <w:ilvl w:val="0"/>
          <w:numId w:val="9"/>
        </w:numPr>
        <w:tabs>
          <w:tab w:val="left" w:pos="1418" w:leader="none"/>
        </w:tabs>
        <w:bidi w:val="0"/>
        <w:ind w:hanging="283" w:start="709"/>
        <w:jc w:val="start"/>
        <w:rPr/>
      </w:pPr>
      <w:r>
        <w:rPr>
          <w:b w:val="false"/>
          <w:bCs w:val="false"/>
          <w:i/>
          <w:iCs/>
        </w:rPr>
        <w:t xml:space="preserve">droit au </w:t>
      </w:r>
      <w:r>
        <w:rPr>
          <w:rStyle w:val="Strong"/>
          <w:b w:val="false"/>
          <w:bCs w:val="false"/>
          <w:i/>
          <w:iCs/>
        </w:rPr>
        <w:t>différé contradictoire</w:t>
      </w:r>
      <w:r>
        <w:rPr>
          <w:b w:val="false"/>
          <w:bCs w:val="false"/>
        </w:rPr>
        <w:t xml:space="preserve"> pour les décisions appuyées par un système ;</w:t>
      </w:r>
    </w:p>
    <w:p>
      <w:pPr>
        <w:pStyle w:val="BodyText"/>
        <w:numPr>
          <w:ilvl w:val="0"/>
          <w:numId w:val="9"/>
        </w:numPr>
        <w:tabs>
          <w:tab w:val="left" w:pos="1418" w:leader="none"/>
        </w:tabs>
        <w:bidi w:val="0"/>
        <w:ind w:hanging="283" w:start="709"/>
        <w:jc w:val="start"/>
        <w:rPr/>
      </w:pPr>
      <w:r>
        <w:rPr>
          <w:rStyle w:val="Strong"/>
          <w:b w:val="false"/>
          <w:bCs w:val="false"/>
          <w:i/>
          <w:iCs/>
        </w:rPr>
        <w:t>journaux de justification</w:t>
      </w:r>
      <w:r>
        <w:rPr>
          <w:b w:val="false"/>
          <w:bCs w:val="false"/>
        </w:rPr>
        <w:t xml:space="preserve"> documentant les choix de modèles, de métriques, de proxies, d’usages ;</w:t>
      </w:r>
    </w:p>
    <w:p>
      <w:pPr>
        <w:pStyle w:val="BodyText"/>
        <w:numPr>
          <w:ilvl w:val="0"/>
          <w:numId w:val="9"/>
        </w:numPr>
        <w:tabs>
          <w:tab w:val="left" w:pos="1418" w:leader="none"/>
        </w:tabs>
        <w:bidi w:val="0"/>
        <w:ind w:hanging="283" w:start="709"/>
        <w:jc w:val="start"/>
        <w:rPr/>
      </w:pPr>
      <w:r>
        <w:rPr>
          <w:rStyle w:val="Strong"/>
          <w:b w:val="false"/>
          <w:bCs w:val="false"/>
          <w:i/>
          <w:iCs/>
        </w:rPr>
        <w:t>visas d’affectation</w:t>
      </w:r>
      <w:r>
        <w:rPr>
          <w:b w:val="false"/>
          <w:bCs w:val="false"/>
        </w:rPr>
        <w:t xml:space="preserve"> qui autorisent ou interdisent certains usages de scores dans des décisions critiques ;</w:t>
      </w:r>
    </w:p>
    <w:p>
      <w:pPr>
        <w:pStyle w:val="BodyText"/>
        <w:numPr>
          <w:ilvl w:val="0"/>
          <w:numId w:val="9"/>
        </w:numPr>
        <w:tabs>
          <w:tab w:val="left" w:pos="1418" w:leader="none"/>
        </w:tabs>
        <w:bidi w:val="0"/>
        <w:ind w:hanging="283" w:start="709"/>
        <w:jc w:val="start"/>
        <w:rPr/>
      </w:pPr>
      <w:r>
        <w:rPr>
          <w:rStyle w:val="Strong"/>
          <w:b w:val="false"/>
          <w:bCs w:val="false"/>
          <w:i/>
          <w:iCs/>
        </w:rPr>
        <w:t>coupe-circuits citoyens</w:t>
      </w:r>
      <w:r>
        <w:rPr>
          <w:b w:val="false"/>
          <w:bCs w:val="false"/>
        </w:rPr>
        <w:t xml:space="preserve"> permettant de suspendre un système en cas de dégâts massifs ;</w:t>
      </w:r>
    </w:p>
    <w:p>
      <w:pPr>
        <w:pStyle w:val="BodyText"/>
        <w:numPr>
          <w:ilvl w:val="0"/>
          <w:numId w:val="9"/>
        </w:numPr>
        <w:tabs>
          <w:tab w:val="left" w:pos="1418" w:leader="none"/>
        </w:tabs>
        <w:bidi w:val="0"/>
        <w:ind w:hanging="283" w:start="709"/>
        <w:jc w:val="start"/>
        <w:rPr/>
      </w:pPr>
      <w:r>
        <w:rPr>
          <w:rStyle w:val="Strong"/>
          <w:b w:val="false"/>
          <w:bCs w:val="false"/>
          <w:i/>
          <w:iCs/>
        </w:rPr>
        <w:t>tribunaux de l’algorithme</w:t>
      </w:r>
      <w:r>
        <w:rPr>
          <w:b w:val="false"/>
          <w:bCs w:val="false"/>
        </w:rPr>
        <w:t xml:space="preserve">, </w:t>
      </w:r>
      <w:r>
        <w:rPr>
          <w:rStyle w:val="Strong"/>
          <w:b w:val="false"/>
          <w:bCs w:val="false"/>
        </w:rPr>
        <w:t>assemblées d’affectation</w:t>
      </w:r>
      <w:r>
        <w:rPr>
          <w:b w:val="false"/>
          <w:bCs w:val="false"/>
        </w:rPr>
        <w:t xml:space="preserve">, </w:t>
      </w:r>
      <w:r>
        <w:rPr>
          <w:rStyle w:val="Strong"/>
          <w:b w:val="false"/>
          <w:bCs w:val="false"/>
        </w:rPr>
        <w:t>budgets scéniques</w:t>
      </w:r>
      <w:r>
        <w:rPr>
          <w:b w:val="false"/>
          <w:bCs w:val="false"/>
        </w:rPr>
        <w:t xml:space="preserve"> pour financer le temps de la délibération et de la traduction ;</w:t>
      </w:r>
    </w:p>
    <w:p>
      <w:pPr>
        <w:pStyle w:val="BodyText"/>
        <w:numPr>
          <w:ilvl w:val="0"/>
          <w:numId w:val="9"/>
        </w:numPr>
        <w:tabs>
          <w:tab w:val="left" w:pos="1418" w:leader="none"/>
        </w:tabs>
        <w:bidi w:val="0"/>
        <w:ind w:hanging="283" w:start="709"/>
        <w:jc w:val="start"/>
        <w:rPr/>
      </w:pPr>
      <w:r>
        <w:rPr>
          <w:rStyle w:val="Strong"/>
          <w:b w:val="false"/>
          <w:bCs w:val="false"/>
          <w:i/>
          <w:iCs/>
        </w:rPr>
        <w:t>révisions archicratives périodiques</w:t>
      </w:r>
      <w:r>
        <w:rPr>
          <w:b w:val="false"/>
          <w:bCs w:val="false"/>
        </w:rPr>
        <w:t xml:space="preserve"> s’accompagnant d’une </w:t>
      </w:r>
      <w:r>
        <w:rPr>
          <w:rStyle w:val="Strong"/>
          <w:b w:val="false"/>
          <w:bCs w:val="false"/>
          <w:i/>
          <w:iCs/>
        </w:rPr>
        <w:t>cartographie des scènes manquantes</w:t>
      </w:r>
      <w:r>
        <w:rPr>
          <w:b w:val="false"/>
          <w:bCs w:val="false"/>
        </w:rPr>
        <w:t>.</w:t>
      </w:r>
    </w:p>
    <w:p>
      <w:pPr>
        <w:pStyle w:val="BodyText"/>
        <w:bidi w:val="0"/>
        <w:jc w:val="start"/>
        <w:rPr>
          <w:b w:val="false"/>
          <w:bCs w:val="false"/>
        </w:rPr>
      </w:pPr>
      <w:r>
        <w:rPr>
          <w:b w:val="false"/>
          <w:bCs w:val="false"/>
        </w:rPr>
        <w:t>Dans le cas de Système F, ces gestes ne sont pas des ornements : ils définissent le seuil en deçà duquel il n’est plus raisonnable de parler de gouvernance archicratique de l’IA, mais d’</w:t>
      </w:r>
      <w:r>
        <w:rPr>
          <w:b w:val="false"/>
          <w:bCs w:val="false"/>
          <w:i/>
          <w:iCs/>
        </w:rPr>
        <w:t>autarchicratie numérique</w:t>
      </w:r>
      <w:r>
        <w:rPr>
          <w:b w:val="false"/>
          <w:bCs w:val="false"/>
        </w:rPr>
        <w:t>.</w:t>
      </w:r>
    </w:p>
    <w:p>
      <w:pPr>
        <w:pStyle w:val="Heading2"/>
        <w:keepNext w:val="true"/>
        <w:bidi w:val="0"/>
        <w:jc w:val="start"/>
        <w:rPr/>
      </w:pPr>
      <w:bookmarkStart w:id="8" w:name="__RefHeading___Toc107781_1543575209"/>
      <w:bookmarkEnd w:id="8"/>
      <w:r>
        <w:rPr/>
        <w:t>Système F</w:t>
      </w:r>
    </w:p>
    <w:p>
      <w:pPr>
        <w:pStyle w:val="BodyText"/>
        <w:bidi w:val="0"/>
        <w:jc w:val="start"/>
        <w:rPr/>
      </w:pPr>
      <w:r>
        <w:rPr>
          <w:b w:val="false"/>
          <w:bCs w:val="false"/>
        </w:rPr>
        <w:t xml:space="preserve">Enfin, </w:t>
      </w:r>
      <w:r>
        <w:rPr>
          <w:rStyle w:val="Emphasis"/>
          <w:b w:val="false"/>
          <w:bCs w:val="false"/>
        </w:rPr>
        <w:t>Système F</w:t>
      </w:r>
      <w:r>
        <w:rPr>
          <w:b w:val="false"/>
          <w:bCs w:val="false"/>
        </w:rPr>
        <w:t xml:space="preserve"> n’est pas le nom d’un produit commercial, mais celui d’une </w:t>
      </w:r>
      <w:r>
        <w:rPr>
          <w:rStyle w:val="Strong"/>
          <w:b w:val="false"/>
          <w:bCs w:val="false"/>
        </w:rPr>
        <w:t>figure composite</w:t>
      </w:r>
      <w:r>
        <w:rPr>
          <w:b w:val="false"/>
          <w:bCs w:val="false"/>
        </w:rPr>
        <w:t xml:space="preserve"> : un modèle de fondation (LLM / modèle multimodal) accessible par API, intégré dans des flux de travail décisionnels de la protection sociale, de la santé, de la justice, des ressources humaines, des plateformes numériques.</w:t>
      </w:r>
    </w:p>
    <w:p>
      <w:pPr>
        <w:pStyle w:val="BodyText"/>
        <w:bidi w:val="0"/>
        <w:jc w:val="start"/>
        <w:rPr/>
      </w:pPr>
      <w:r>
        <w:rPr>
          <w:b w:val="false"/>
          <w:bCs w:val="false"/>
        </w:rPr>
        <w:t xml:space="preserve">Il condense des caractéristiques </w:t>
      </w:r>
      <w:r>
        <w:rPr>
          <w:rStyle w:val="Strong"/>
          <w:b w:val="false"/>
          <w:bCs w:val="false"/>
        </w:rPr>
        <w:t>empiriquement attestées</w:t>
      </w:r>
      <w:r>
        <w:rPr>
          <w:b w:val="false"/>
          <w:bCs w:val="false"/>
        </w:rPr>
        <w:t xml:space="preserve"> :</w:t>
      </w:r>
    </w:p>
    <w:p>
      <w:pPr>
        <w:pStyle w:val="BodyText"/>
        <w:numPr>
          <w:ilvl w:val="0"/>
          <w:numId w:val="10"/>
        </w:numPr>
        <w:tabs>
          <w:tab w:val="left" w:pos="1418" w:leader="none"/>
        </w:tabs>
        <w:bidi w:val="0"/>
        <w:ind w:hanging="283" w:start="709"/>
        <w:jc w:val="start"/>
        <w:rPr>
          <w:b w:val="false"/>
          <w:bCs w:val="false"/>
        </w:rPr>
      </w:pPr>
      <w:r>
        <w:rPr>
          <w:b w:val="false"/>
          <w:bCs w:val="false"/>
          <w:i/>
          <w:iCs/>
        </w:rPr>
        <w:t>usage de systèmes de scoring</w:t>
      </w:r>
      <w:r>
        <w:rPr>
          <w:b w:val="false"/>
          <w:bCs w:val="false"/>
        </w:rPr>
        <w:t xml:space="preserve"> pour cibler des contrôles de fraude, évaluer des risques pénaux, gérer des programmes de soins, filtrer des candidatures, modérer des contenus ;</w:t>
      </w:r>
    </w:p>
    <w:p>
      <w:pPr>
        <w:pStyle w:val="BodyText"/>
        <w:numPr>
          <w:ilvl w:val="0"/>
          <w:numId w:val="10"/>
        </w:numPr>
        <w:tabs>
          <w:tab w:val="left" w:pos="1418" w:leader="none"/>
        </w:tabs>
        <w:bidi w:val="0"/>
        <w:ind w:hanging="283" w:start="709"/>
        <w:jc w:val="start"/>
        <w:rPr>
          <w:b w:val="false"/>
          <w:bCs w:val="false"/>
        </w:rPr>
      </w:pPr>
      <w:r>
        <w:rPr>
          <w:b w:val="false"/>
          <w:bCs w:val="false"/>
          <w:i/>
          <w:iCs/>
        </w:rPr>
        <w:t>insertion de modules d’IA dans des logiciels métier existants</w:t>
      </w:r>
      <w:r>
        <w:rPr>
          <w:b w:val="false"/>
          <w:bCs w:val="false"/>
        </w:rPr>
        <w:t xml:space="preserve"> ;</w:t>
      </w:r>
    </w:p>
    <w:p>
      <w:pPr>
        <w:pStyle w:val="BodyText"/>
        <w:numPr>
          <w:ilvl w:val="0"/>
          <w:numId w:val="10"/>
        </w:numPr>
        <w:tabs>
          <w:tab w:val="left" w:pos="1418" w:leader="none"/>
        </w:tabs>
        <w:bidi w:val="0"/>
        <w:ind w:hanging="283" w:start="709"/>
        <w:jc w:val="start"/>
        <w:rPr>
          <w:b w:val="false"/>
          <w:bCs w:val="false"/>
        </w:rPr>
      </w:pPr>
      <w:r>
        <w:rPr>
          <w:b w:val="false"/>
          <w:bCs w:val="false"/>
          <w:i/>
          <w:iCs/>
        </w:rPr>
        <w:t>dépendance à des fournisseurs privés de services cloud et de modèles</w:t>
      </w:r>
      <w:r>
        <w:rPr>
          <w:b w:val="false"/>
          <w:bCs w:val="false"/>
        </w:rPr>
        <w:t xml:space="preserve"> ;</w:t>
      </w:r>
    </w:p>
    <w:p>
      <w:pPr>
        <w:pStyle w:val="BodyText"/>
        <w:numPr>
          <w:ilvl w:val="0"/>
          <w:numId w:val="10"/>
        </w:numPr>
        <w:tabs>
          <w:tab w:val="left" w:pos="1418" w:leader="none"/>
        </w:tabs>
        <w:bidi w:val="0"/>
        <w:ind w:hanging="283" w:start="709"/>
        <w:jc w:val="start"/>
        <w:rPr>
          <w:b w:val="false"/>
          <w:bCs w:val="false"/>
        </w:rPr>
      </w:pPr>
      <w:r>
        <w:rPr>
          <w:b w:val="false"/>
          <w:bCs w:val="false"/>
          <w:i/>
          <w:iCs/>
        </w:rPr>
        <w:t>adoption de chartes d’“IA responsable” et de procédures d’audit parfois plus symboliques qu’effectives</w:t>
      </w:r>
      <w:r>
        <w:rPr>
          <w:b w:val="false"/>
          <w:bCs w:val="false"/>
        </w:rPr>
        <w:t>.</w:t>
      </w:r>
    </w:p>
    <w:p>
      <w:pPr>
        <w:pStyle w:val="BodyText"/>
        <w:bidi w:val="0"/>
        <w:jc w:val="start"/>
        <w:rPr/>
      </w:pPr>
      <w:r>
        <w:rPr>
          <w:b w:val="false"/>
          <w:bCs w:val="false"/>
        </w:rPr>
        <w:t xml:space="preserve">L’intérêt de Système F n’est donc pas de décrire un futur hypothétique, mais de donner un </w:t>
      </w:r>
      <w:r>
        <w:rPr>
          <w:rStyle w:val="Strong"/>
          <w:b w:val="false"/>
          <w:bCs w:val="false"/>
        </w:rPr>
        <w:t>nom commun</w:t>
      </w:r>
      <w:r>
        <w:rPr>
          <w:b w:val="false"/>
          <w:bCs w:val="false"/>
        </w:rPr>
        <w:t xml:space="preserve"> à une configuration déjà largement engagée, afin de lui appliquer, sans esquive, l’ensemble des épreuves archicratiques.</w:t>
      </w:r>
    </w:p>
    <w:p>
      <w:pPr>
        <w:pStyle w:val="BodyText"/>
        <w:bidi w:val="0"/>
        <w:spacing w:before="0" w:after="140"/>
        <w:jc w:val="start"/>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17</TotalTime>
  <Application>LibreOffice/25.8.2.2$MacOSX_AARCH64 LibreOffice_project/d401f2107ccab8f924a8e2df40f573aab7605b6f</Application>
  <AppVersion>15.0000</AppVersion>
  <Pages>4</Pages>
  <Words>1430</Words>
  <Characters>8121</Characters>
  <CharactersWithSpaces>9462</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2026-01-26T12:33:07Z</dcterms:modified>
  <cp:revision>13</cp:revision>
  <dc:subject/>
  <dc:title/>
</cp:coreProperties>
</file>