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before="240" w:after="120"/>
        <w:rPr/>
      </w:pPr>
      <w:r>
        <w:rPr>
          <w:rStyle w:val="Strong"/>
          <w:b/>
          <w:bCs/>
        </w:rPr>
        <w:t>Genèse conceptuelle du terme archicratie</w:t>
      </w:r>
    </w:p>
    <w:p>
      <w:pPr>
        <w:pStyle w:val="Subtitle"/>
        <w:bidi w:val="0"/>
        <w:rPr/>
      </w:pPr>
      <w:r>
        <w:rPr/>
        <w:t>République, classifications du pouvoir et conditions construites du commun</w:t>
      </w:r>
    </w:p>
    <w:p>
      <w:pPr>
        <w:pStyle w:val="BodyText"/>
        <w:bidi w:val="0"/>
        <w:jc w:val="start"/>
        <w:rPr/>
      </w:pPr>
      <w:r>
        <w:rPr/>
      </w:r>
    </w:p>
    <w:p>
      <w:pPr>
        <w:pStyle w:val="BodyText"/>
        <w:bidi w:val="0"/>
        <w:jc w:val="start"/>
        <w:rPr/>
      </w:pPr>
      <w:r>
        <w:rPr/>
        <w:t>Le terme de République semble d’abord offrir une évidence. Dans les usages ordinaires comme dans une partie des discours savants, il paraît désigner une forme politique identifiable : un ordre non monarchique, réglé par la loi, référé à l’intérêt général, attaché à la citoyenneté. Cette évidence se défait pourtant dès que l’on examine les textes qui ont contribué à en stabiliser l’autorité.</w:t>
      </w:r>
    </w:p>
    <w:p>
      <w:pPr>
        <w:pStyle w:val="BodyText"/>
        <w:bidi w:val="0"/>
        <w:jc w:val="start"/>
        <w:rPr/>
      </w:pPr>
      <w:r>
        <w:rPr/>
        <w:t>Chez Rousseau, la République ne désigne pas un type institutionnel parmi d’autres, mais tout État régi par des lois, quelle que soit sa forme d’administration. Ce qui fait République n’est donc pas d’abord l’absence de roi, ni la structure précise du gouvernement, mais la subordination de l’ordre politique à une loi qui ne se confond pas avec la volonté particulière d’un individu ou d’un groupe. En ce sens, la République excède la typologie des régimes : elle nomme moins une forme qu’un certain régime de validité de la loi.</w:t>
      </w:r>
    </w:p>
    <w:p>
      <w:pPr>
        <w:pStyle w:val="BodyText"/>
        <w:bidi w:val="0"/>
        <w:jc w:val="start"/>
        <w:rPr/>
      </w:pPr>
      <w:r>
        <w:rPr/>
        <w:t>Chez Montesquieu, la difficulté se déplace. La République demeure une espèce de gouvernement distincte de la monarchie et du despotisme, mais elle se divise elle-même entre démocratie et aristocratie, selon que la souveraine puissance appartient au peuple entier ou à une partie du peuple. Le terme ne renvoie donc pas à une structure homogène. Il désigne un ensemble de configurations dont l’unité tient à un rapport spécifique entre souveraineté, loi et vertu civique.</w:t>
      </w:r>
    </w:p>
    <w:p>
      <w:pPr>
        <w:pStyle w:val="BodyText"/>
        <w:bidi w:val="0"/>
        <w:jc w:val="start"/>
        <w:rPr/>
      </w:pPr>
      <w:r>
        <w:rPr/>
        <w:t>Ces deux élaborations, loin de stabiliser définitivement la notion, en révèlent la plasticité. La République peut désigner une forme de gouvernement, un principe d’organisation, un horizon normatif, une condition de légitimité. Elle appartient à la fois au registre descriptif et au registre évaluatif. Elle nomme ce qui est, mais aussi ce qui devrait être reconnu comme politiquement valable.</w:t>
      </w:r>
    </w:p>
    <w:p>
      <w:pPr>
        <w:pStyle w:val="BodyText"/>
        <w:bidi w:val="0"/>
        <w:jc w:val="start"/>
        <w:rPr/>
      </w:pPr>
      <w:r>
        <w:rPr/>
        <w:t>Cette ambiguïté devient particulièrement sensible dans les usages contemporains du vocabulaire républicain. Dans l’espace public français, la référence à la République fonctionne rarement comme une simple description institutionnelle. Elle sert à qualifier, à légitimer, à exclure, à tracer une frontière entre ce qui serait recevable et ce qui ne le serait pas. Les “valeurs républicaines” sont invoquées comme si leur contenu allait de soi, alors même qu’elles demeurent disputées : la laïcité peut être comprise comme neutralité de l’État ou comme exigence d’effacement du religieux dans l’espace social ; l’égalité peut signifier égalité formelle des droits ou réduction effective des asymétries sociales ; la souveraineté peut être pensée dans le cadre national ou recomposée dans des ensembles supranationaux. Dans chaque cas, l’appel à la République ne se contente pas de nommer un principe commun : il oriente l’interprétation, hiérarchise les positions, confère une autorité.</w:t>
      </w:r>
    </w:p>
    <w:p>
      <w:pPr>
        <w:pStyle w:val="BodyText"/>
        <w:bidi w:val="0"/>
        <w:jc w:val="start"/>
        <w:rPr/>
      </w:pPr>
      <w:r>
        <w:rPr/>
        <w:t>Cette opération peut être éclairée par Weber : dans les formes modernes de domination, la légitimité repose sur la croyance en la validité des règles. Mais cette croyance elle-même peut devenir une ressource. Se réclamer de la République revient alors à adosser une position particulière à un principe supposé commun, sans nécessairement passer par l’analyse des institutions, des pratiques ou des effets concrets qu’elle engage.</w:t>
      </w:r>
    </w:p>
    <w:p>
      <w:pPr>
        <w:pStyle w:val="BodyText"/>
        <w:bidi w:val="0"/>
        <w:jc w:val="start"/>
        <w:rPr/>
      </w:pPr>
      <w:r>
        <w:rPr/>
        <w:t>Foucault permet de pousser plus loin ce constat. Les discours ne sont pas de simples représentations du réel ; ils participent à la production des rapports de pouvoir. Dire qu’une mesure est “républicaine” ou “anti-républicaine” ne revient pas seulement à la décrire : c’est intervenir dans un champ de forces, rendre certaines positions audibles, en disqualifier d’autres, produire un partage du légitime et de l’illégitime.</w:t>
      </w:r>
    </w:p>
    <w:p>
      <w:pPr>
        <w:pStyle w:val="BodyText"/>
        <w:bidi w:val="0"/>
        <w:jc w:val="start"/>
        <w:rPr/>
      </w:pPr>
      <w:r>
        <w:rPr/>
        <w:t>La République apparaît ainsi comme un terme à double régime. Elle désigne un principe d’organisation politique fondé sur la loi ; elle fonctionne aussi comme une ressource discursive dans les luttes de légitimation. Ces deux dimensions ne coïncident pas toujours. Une institution peut satisfaire aux critères formels d’un ordre républicain tout en étant dénoncée comme contraire aux valeurs de la République ; inversement, une pratique peut se réclamer du républicanisme au nom d’une interprétation normative qui déborde son inscription institutionnelle.</w:t>
      </w:r>
    </w:p>
    <w:p>
      <w:pPr>
        <w:pStyle w:val="BodyText"/>
        <w:bidi w:val="0"/>
        <w:jc w:val="start"/>
        <w:rPr/>
      </w:pPr>
      <w:r>
        <w:rPr/>
        <w:t>Le problème n’est donc pas une simple ambiguïté lexicale. Un même terme sert à décrire et à juger, à identifier une forme et à produire une évaluation. Il unifie ce qui, pour être analysé, devrait être distingué : forme institutionnelle, principe normatif, mode de légitimation, usage stratégique du langage politique.</w:t>
      </w:r>
    </w:p>
    <w:p>
      <w:pPr>
        <w:pStyle w:val="BodyText"/>
        <w:bidi w:val="0"/>
        <w:jc w:val="start"/>
        <w:rPr/>
      </w:pPr>
      <w:r>
        <w:rPr/>
        <w:t>C’est pourquoi le déplacement vers les classifications des formes de pouvoir paraît d’abord nécessaire. Si la République est trop large, trop chargée, trop disputée, il semble possible de chercher des catégories plus précises, capables de décrire les structures effectives du pouvoir.</w:t>
      </w:r>
    </w:p>
    <w:p>
      <w:pPr>
        <w:pStyle w:val="BodyText"/>
        <w:bidi w:val="0"/>
        <w:jc w:val="start"/>
        <w:rPr/>
      </w:pPr>
      <w:r>
        <w:rPr/>
        <w:t>La tradition aristotélicienne offre un point d’appui classique. En distinguant les régimes selon le nombre de gouvernants et la finalité de leur action, Aristote articule structure du pouvoir et orientation normative : monarchie, aristocratie et politeia relèvent des formes orientées vers le bien commun ; tyrannie, oligarchie et démocratie, au sens dégradé du terme dans cette typologie, en constituent les déviations. Le modèle paraît robuste parce qu’il ne se contente pas de demander qui gouverne ; il demande aussi pour quoi le gouvernement s’exerce.</w:t>
      </w:r>
    </w:p>
    <w:p>
      <w:pPr>
        <w:pStyle w:val="BodyText"/>
        <w:bidi w:val="0"/>
        <w:jc w:val="start"/>
        <w:rPr/>
      </w:pPr>
      <w:r>
        <w:rPr/>
        <w:t>Mais cette robustesse repose déjà sur une simplification. Aristote lui-même reconnaît la difficulté à faire entrer les constitutions réelles dans des formes pures. La politeia apparaît précisément comme une combinaison d’éléments démocratiques et oligarchiques. La classification ne fonctionne donc qu’à condition de réduire la complexité des arrangements effectifs.</w:t>
      </w:r>
    </w:p>
    <w:p>
      <w:pPr>
        <w:pStyle w:val="BodyText"/>
        <w:bidi w:val="0"/>
        <w:jc w:val="start"/>
        <w:rPr/>
      </w:pPr>
      <w:r>
        <w:rPr/>
        <w:t>Polybe accentue cette difficulté en introduisant la dynamique des régimes et l’idée de constitution mixte. La stabilité romaine ne tient pas à la pureté d’une forme, mais à l’équilibre instable entre plusieurs principes : consuls, Sénat, assemblées populaires. La typologie devient alors moins une description de substances politiques qu’un instrument pour penser des combinaisons, des tensions, des contrepoids.</w:t>
      </w:r>
    </w:p>
    <w:p>
      <w:pPr>
        <w:pStyle w:val="BodyText"/>
        <w:bidi w:val="0"/>
        <w:jc w:val="start"/>
        <w:rPr/>
      </w:pPr>
      <w:r>
        <w:rPr/>
        <w:t>La modernité n’a pas résorbé cette difficulté ; elle l’a démultipliée. Démocratie représentative, démocratie libérale, État de droit, autoritarisme, totalitarisme, technocratie, bureaucratie : chaque catégorie éclaire un aspect des configurations politiques, mais aucune ne suffit à en saisir l’ensemble. Weber montre que le pouvoir moderne se distribue dans des règles impersonnelles et des appareils bureaucratiques ; il ne se concentre plus seulement dans une figure souveraine. Une même configuration peut ainsi être électoralement démocratique, administrativement bureaucratique, partiellement technocratique, libérale ou illibérale selon les droits effectivement garantis.</w:t>
      </w:r>
    </w:p>
    <w:p>
      <w:pPr>
        <w:pStyle w:val="BodyText"/>
        <w:bidi w:val="0"/>
        <w:jc w:val="start"/>
        <w:rPr/>
      </w:pPr>
      <w:r>
        <w:rPr/>
        <w:t>Plus les catégories se raffinent, plus elles gagnent en précision locale ; mais plus elles risquent de perdre la cohérence d’ensemble. Elles décrivent qui gouverne, selon quelles règles, au nom de quels principes, par quels appareils. Elles saisissent des formes visibles du pouvoir. Elles peinent encore à répondre à une question plus élémentaire : sur quoi ces formes reposent-elles concrètement ? Qu’est-ce qui les rend praticables, durables, transformables ?</w:t>
      </w:r>
    </w:p>
    <w:p>
      <w:pPr>
        <w:pStyle w:val="BodyText"/>
        <w:bidi w:val="0"/>
        <w:jc w:val="start"/>
        <w:rPr/>
      </w:pPr>
      <w:r>
        <w:rPr/>
        <w:t>Tant que cette question demeure suspendue, les catégories fonctionnent, mais partiellement. Elles décrivent des configurations sans en saisir pleinement les conditions d’existence.</w:t>
      </w:r>
    </w:p>
    <w:p>
      <w:pPr>
        <w:pStyle w:val="BodyText"/>
        <w:bidi w:val="0"/>
        <w:jc w:val="start"/>
        <w:rPr/>
      </w:pPr>
      <w:r>
        <w:rPr/>
        <w:t xml:space="preserve">L’examen doit alors se resserrer encore, non plus seulement sur les régimes, mais sur les termes qui structurent leur nomination. La distinction entre les formes en </w:t>
      </w:r>
      <w:r>
        <w:rPr>
          <w:rStyle w:val="Emphasis"/>
        </w:rPr>
        <w:t>-archie</w:t>
      </w:r>
      <w:r>
        <w:rPr/>
        <w:t xml:space="preserve"> et celles en </w:t>
      </w:r>
      <w:r>
        <w:rPr>
          <w:rStyle w:val="Emphasis"/>
        </w:rPr>
        <w:t>-cratie</w:t>
      </w:r>
      <w:r>
        <w:rPr/>
        <w:t xml:space="preserve"> paraît d’abord éclairante. Les premières — monarchie, oligarchie, anarchie — semblent désigner des principes d’organisation du pouvoir : un seul, quelques-uns, aucun commandement institué. Les secondes — démocratie, aristocratie, technocratie — paraissent renvoyer à des modalités d’exercice ou de légitimation : le peuple, les meilleurs, les experts. L’étymologie semble confirmer cette répartition : </w:t>
      </w:r>
      <w:r>
        <w:rPr>
          <w:rStyle w:val="Emphasis"/>
        </w:rPr>
        <w:t>archè</w:t>
      </w:r>
      <w:r>
        <w:rPr/>
        <w:t xml:space="preserve"> comme principe, commencement ou commandement ; </w:t>
      </w:r>
      <w:r>
        <w:rPr>
          <w:rStyle w:val="Emphasis"/>
        </w:rPr>
        <w:t>kratos</w:t>
      </w:r>
      <w:r>
        <w:rPr/>
        <w:t xml:space="preserve"> comme puissance, force ou domination.</w:t>
      </w:r>
    </w:p>
    <w:p>
      <w:pPr>
        <w:pStyle w:val="BodyText"/>
        <w:bidi w:val="0"/>
        <w:jc w:val="start"/>
        <w:rPr/>
      </w:pPr>
      <w:r>
        <w:rPr/>
        <w:t xml:space="preserve">Mais les usages effectifs troublent aussitôt cette distinction. La démocratie désigne à la fois un principe de légitimation, une procédure institutionnelle, une forme de participation et une norme d’égalité politique. L’aristocratie, bien qu’elle implique le gouvernement de quelques-uns, se présente historiquement comme une </w:t>
      </w:r>
      <w:r>
        <w:rPr>
          <w:rStyle w:val="Emphasis"/>
        </w:rPr>
        <w:t>-cratie</w:t>
      </w:r>
      <w:r>
        <w:rPr/>
        <w:t>, c’est-à-dire comme un pouvoir justifié par l’excellence supposée de ceux qui l’exercent. L’anarchie peut signifier absence de commandement, mais aussi organisation sociale non hiérarchique dans certaines traditions politiques.</w:t>
      </w:r>
    </w:p>
    <w:p>
      <w:pPr>
        <w:pStyle w:val="BodyText"/>
        <w:bidi w:val="0"/>
        <w:jc w:val="start"/>
        <w:rPr/>
      </w:pPr>
      <w:r>
        <w:rPr/>
        <w:t>Les termes ne renvoient donc pas à des niveaux homogènes. Ils agrègent structure du pouvoir, mode de désignation, principe de légitimation, forme institutionnelle et horizon normatif. La démocratie en offre l’exemple le plus net : dans la cité grecque, elle renvoie à des pratiques situées — assemblée, tirage au sort, rotation des charges — ; dans les régimes modernes, elle désigne le plus souvent représentation élective, pluralisme partisan, protection des droits. Le même mot traverse des mondes institutionnels profondément différents.</w:t>
      </w:r>
    </w:p>
    <w:p>
      <w:pPr>
        <w:pStyle w:val="BodyText"/>
        <w:bidi w:val="0"/>
        <w:jc w:val="start"/>
        <w:rPr/>
      </w:pPr>
      <w:r>
        <w:rPr/>
        <w:t>La difficulté n’est pas que les termes seraient simplement flous. Elle tient à ce qu’ils condensent des dimensions que l’analyse doit distinguer sans pouvoir les séparer entièrement. Une catégorie politique ne décrit jamais seulement une forme ; elle transporte une histoire, une procédure, une norme, un conflit d’interprétation.</w:t>
      </w:r>
    </w:p>
    <w:p>
      <w:pPr>
        <w:pStyle w:val="BodyText"/>
        <w:bidi w:val="0"/>
        <w:jc w:val="start"/>
        <w:rPr/>
      </w:pPr>
      <w:r>
        <w:rPr/>
        <w:t>Les débats contemporains sur la démocratie le confirment. Démocratie délibérative, participative, sociale, radicale : ces expressions ne sont pas de simples variantes d’un concept stable. Elles manifestent des désaccords profonds sur ce qui fait la substance même du politique : discussion publique, égalité effective, conflit, participation, représentation, redistribution du pouvoir.</w:t>
      </w:r>
    </w:p>
    <w:p>
      <w:pPr>
        <w:pStyle w:val="BodyText"/>
        <w:bidi w:val="0"/>
        <w:jc w:val="start"/>
        <w:rPr/>
      </w:pPr>
      <w:r>
        <w:rPr/>
        <w:t xml:space="preserve">Ainsi, la distinction entre </w:t>
      </w:r>
      <w:r>
        <w:rPr>
          <w:rStyle w:val="Emphasis"/>
        </w:rPr>
        <w:t>-archie</w:t>
      </w:r>
      <w:r>
        <w:rPr/>
        <w:t xml:space="preserve"> et </w:t>
      </w:r>
      <w:r>
        <w:rPr>
          <w:rStyle w:val="Emphasis"/>
        </w:rPr>
        <w:t>-cratie</w:t>
      </w:r>
      <w:r>
        <w:rPr/>
        <w:t xml:space="preserve"> ne résout pas la crise classificatoire ; elle la rend plus visible. Elle montre que le langage politique peine à articuler principe d’organisation, exercice effectif, légitimation et institution. Les catégories demeurent indispensables pour nommer, comparer, discuter ; mais elles ne suffisent pas à saisir ce qui permet aux formes qu’elles désignent de devenir opératoires.</w:t>
      </w:r>
    </w:p>
    <w:p>
      <w:pPr>
        <w:pStyle w:val="BodyText"/>
        <w:bidi w:val="0"/>
        <w:jc w:val="start"/>
        <w:rPr/>
      </w:pPr>
      <w:r>
        <w:rPr/>
        <w:t>C’est dans cet espace d’insuffisance que la prolifération idéologique moderne prend tout son relief. Libéralisme, socialisme, conservatisme, anarchisme ne proposent pas seulement des doctrines concurrentes ; ils réinvestissent les catégories disponibles, les déplacent, les recomposent. Le libéralisme peut s’accommoder de formes institutionnelles diverses dès lors que certaines libertés sont garanties. Le socialisme peut prendre des formes étatiques, autogestionnaires ou coopératives. L’anarchisme ne se réduit pas à l’absence d’ordre ; il cherche, dans certaines de ses variantes, des formes d’organisation non hiérarchiques.</w:t>
      </w:r>
    </w:p>
    <w:p>
      <w:pPr>
        <w:pStyle w:val="BodyText"/>
        <w:bidi w:val="0"/>
        <w:jc w:val="start"/>
        <w:rPr/>
      </w:pPr>
      <w:r>
        <w:rPr/>
        <w:t>Les courants plus récents — écologisme politique, féminisme, postcolonialisme, théories critiques de la race, décroissance, technocritique — accentuent cette dispersion. Ils introduisent des objets que les catégories classiques ne savent pas toujours intégrer : rapports à la nature, au genre, aux héritages coloniaux, aux systèmes techniques, aux limites matérielles de la croissance.</w:t>
      </w:r>
    </w:p>
    <w:p>
      <w:pPr>
        <w:pStyle w:val="BodyText"/>
        <w:bidi w:val="0"/>
        <w:jc w:val="start"/>
        <w:rPr/>
      </w:pPr>
      <w:r>
        <w:rPr/>
        <w:t>Il ne s’agit pas d’un simple enrichissement doctrinal. Cette prolifération montre que les catégories héritées ne suffisent plus à organiser l’ensemble des problèmes politiques contemporains. Les idéologies tentent de recomposer le champ, mais elles ne produisent pas à elles seules une intelligibilité unifiée. Elles interprètent, orientent, contestent ; elles ne disent pas encore assez clairement dans quelles conditions matérielles, sociales et techniques leurs principes deviennent effectifs.</w:t>
      </w:r>
    </w:p>
    <w:p>
      <w:pPr>
        <w:pStyle w:val="BodyText"/>
        <w:bidi w:val="0"/>
        <w:jc w:val="start"/>
        <w:rPr/>
      </w:pPr>
      <w:r>
        <w:rPr/>
        <w:t>Le regard se déplace alors vers ce que les classifications et les idéologies laissent en arrière-plan : les pratiques, les métiers, les dispositifs, les infrastructures, les arrangements concrets par lesquels un ordre politique devient praticable. Les pratiques professionnelles, longtemps reléguées hors du centre théorique du politique, cessent d’apparaître comme de simples applications de décisions préalables. Elles participent à la production même du monde commun.</w:t>
      </w:r>
    </w:p>
    <w:p>
      <w:pPr>
        <w:pStyle w:val="BodyText"/>
        <w:bidi w:val="0"/>
        <w:jc w:val="start"/>
        <w:rPr/>
      </w:pPr>
      <w:r>
        <w:rPr/>
        <w:t>Les métiers du bâtiment, de l’ingénierie, de l’aménagement, de la santé, de l’éducation ou de l’administration engagent des savoir-faire, des normes et des dispositifs d’organisation qui conditionnent directement des possibilités d’action.</w:t>
      </w:r>
    </w:p>
    <w:p>
      <w:pPr>
        <w:pStyle w:val="BodyText"/>
        <w:bidi w:val="0"/>
        <w:jc w:val="start"/>
        <w:rPr/>
      </w:pPr>
      <w:r>
        <w:rPr/>
        <w:t>La construction d’une route, d’un réseau ferroviaire ou d’un système de distribution d’énergie ne relève pas d’une neutralité technique. Elle transforme les relations économiques, les mobilités, les hiérarchies territoriales, les temporalités sociales. Les réaménagements urbains du XIXe siècle, notamment ceux de Paris sous le Second Empire, montrent de manière exemplaire qu’un choix de voirie, d’assainissement, d’alignement ou de circulation peut simultanément améliorer les flux, redistribuer les populations, faciliter le contrôle et modifier l’expérience ordinaire de la ville.</w:t>
      </w:r>
    </w:p>
    <w:p>
      <w:pPr>
        <w:pStyle w:val="BodyText"/>
        <w:bidi w:val="0"/>
        <w:jc w:val="start"/>
        <w:rPr/>
      </w:pPr>
      <w:r>
        <w:rPr/>
        <w:t>De même, l’institution d’un système scolaire ou hospitalier ne se réduit pas à l’application d’un principe politique général. Elle suppose des bâtiments, des personnels formés, des budgets, des horaires, des procédures, des instruments de classement et d’évaluation. L’accès au savoir ou au soin ne devient effectif qu’à travers cette matérialisation organisée.</w:t>
      </w:r>
    </w:p>
    <w:p>
      <w:pPr>
        <w:pStyle w:val="BodyText"/>
        <w:bidi w:val="0"/>
        <w:jc w:val="start"/>
        <w:rPr/>
      </w:pPr>
      <w:r>
        <w:rPr/>
        <w:t>Les formes politiques ne peuvent donc plus être comprises indépendamment des dispositifs matériels et organisationnels qui les soutiennent. Les catégories en -archie et en -cratie décrivent des principes, des formes et des légitimations ; les idéologies en proposent des interprétations ; mais leur effectivité dépend d’opérations concrètes de construction, d’aménagement, d’entretien et de coordination.</w:t>
      </w:r>
    </w:p>
    <w:p>
      <w:pPr>
        <w:pStyle w:val="BodyText"/>
        <w:bidi w:val="0"/>
        <w:jc w:val="start"/>
        <w:rPr/>
      </w:pPr>
      <w:r>
        <w:rPr/>
        <w:t>Ce déplacement ne consiste pas à ajouter un domaine empirique au domaine politique. Il oblige à reconnaître que ce que l’on appelle politique n’existe jamais séparément de ses conditions d’effectuation. Une loi sans lieux, sans procédures, sans agents, sans archives, sans moyens d’accès reste formelle. Un droit sans dispositif permettant son exercice demeure abstrait. Une citoyenneté sans école, sans espace public, sans information, sans capacité de circulation et de délibération se réduit à une promesse.</w:t>
      </w:r>
    </w:p>
    <w:p>
      <w:pPr>
        <w:pStyle w:val="BodyText"/>
        <w:bidi w:val="0"/>
        <w:jc w:val="start"/>
        <w:rPr/>
      </w:pPr>
      <w:r>
        <w:rPr/>
        <w:t>À ce niveau, la frontière entre politique, social, technique et matériel cesse d’être stable. Une route, un pont, une école, un hôpital, un réseau d’eau, une bibliothèque, un cadastre, une archive ou une procédure d’accès aux soins ne sont pas politiques seulement lorsqu’ils sont décidés par l’État. Ils le sont parce qu’ils organisent des possibilités, répartissent des accès, stabilisent des usages, produisent des dépendances et des capacités. Leur statut juridique peut varier — étatique, municipal, associatif, communautaire, privé, coopératif — mais leur puissance structurante demeure.</w:t>
      </w:r>
    </w:p>
    <w:p>
      <w:pPr>
        <w:pStyle w:val="BodyText"/>
        <w:bidi w:val="0"/>
        <w:jc w:val="start"/>
        <w:rPr/>
      </w:pPr>
      <w:r>
        <w:rPr/>
        <w:t>L’anarchisme joue ici le rôle d’une épreuve décisive. En récusant l’État comme forme centralisée de contrainte, il oblige à distinguer l’ordre, la loi, l’institution, la règle commune, la domination et l’autorité. Dans ses traditions les plus exigeantes, de Proudhon à Kropotkine, il ne se réduit pas à l’absence de toute organisation ; il cherche plutôt à penser des formes d’association, de fédération, de coopération et de régulation mutuelle sans capture hiérarchique. Mais cette tentative ne supprime pas la nécessité d’un monde praticable. Même une société anti-étatique doit produire, entretenir, transmettre, répartir, réparer, arbitrer. Elle doit organiser des lieux, des ressources, des usages, des accès, des protections. L’anarchisme ne rend donc pas la matérialité politique inutile ; il révèle au contraire que la régulation ne se confond pas avec l’État, mais qu’aucune vie collective ne peut se dispenser d’opérations de structuration.</w:t>
      </w:r>
    </w:p>
    <w:p>
      <w:pPr>
        <w:pStyle w:val="BodyText"/>
        <w:bidi w:val="0"/>
        <w:jc w:val="start"/>
        <w:rPr/>
      </w:pPr>
      <w:r>
        <w:rPr/>
        <w:t>C’est alors que les professions, les métiers et les positions sociales deviennent politiquement décisifs. L’enseignant travaille dans une institution qui organise la transmission, la sélection, l’évaluation, la formation de l’attention et de la citoyenneté. Le soignant agit dans des architectures de tri, de priorité, de protocole, de disponibilité des ressources. Le médecin ne rencontre pas les mêmes responsabilités selon qu’il exerce dans un système libéral, hospitalier, mutualiste ou public. Le maçon, le plombier, l’électricien, l’ingénieur, l’urbaniste, l’architecte interviennent dans les conditions mêmes de l’habitation, de la circulation, de l’hygiène, de la sécurité, de la production. Le commerçant, le taxi, le buraliste, l’artisan, le mécanicien, le transporteur, le militaire, le fonctionnaire ou le retraité habitent chacun des dépendances différenciées à l’égard des infrastructures, des normes, de la fiscalité, des protections collectives, des marchés locaux, des autorisations administratives.</w:t>
      </w:r>
    </w:p>
    <w:p>
      <w:pPr>
        <w:pStyle w:val="BodyText"/>
        <w:bidi w:val="0"/>
        <w:jc w:val="start"/>
        <w:rPr/>
      </w:pPr>
      <w:r>
        <w:rPr/>
        <w:t>Une analyse rigoureuse ne peut donc pas dire seulement que certains groupes “adhèrent” à telle ou telle idéologie. Elle doit observer comment leurs conditions d’existence rendent certaines conceptions plus plausibles, plus défensives, plus désirables ou plus menaçantes. Les professions réglementées peuvent défendre l’ordre normatif qui garantit leur statut tout en contestant les contraintes qui réduisent leur autonomie. Les entrepreneurs peuvent réclamer moins de réglementation tout en dépendant d’infrastructures, de réseaux énergétiques, de stabilité juridique ou de commandes publiques. Les agents publics peuvent défendre l’universalité du service tout en subissant les procédures qui bureaucratisent leur mission. Les propriétaires peuvent valoriser la sécurité juridique et l’ordre spatial, tandis que ceux qui dépendent d’un accès précaire au logement peuvent éprouver les mêmes dispositifs comme des formes d’exclusion. Les idées ne sont pas réductibles aux intérêts ; mais elles ne flottent jamais hors des conditions qui leur donnent prise.</w:t>
      </w:r>
    </w:p>
    <w:p>
      <w:pPr>
        <w:pStyle w:val="BodyText"/>
        <w:bidi w:val="0"/>
        <w:jc w:val="start"/>
        <w:rPr/>
      </w:pPr>
      <w:r>
        <w:rPr/>
        <w:t>Le bâti concentre cette épaisseur. La maison n’est pas seulement un abri : elle inscrit un rapport à la propriété, à l’intimité, à la transmission, au crédit, au voisinage, au droit du sol. Le lieu de culte n’est pas seulement un espace religieux : il configure des appartenances, des rythmes collectifs, une visibilité publique du symbolique. Le château condense protection, domination territoriale, hiérarchie sociale et capacité de coercition. La mairie, l’école, le tribunal, l’hôpital, la gare, la caserne, la prison, la bibliothèque matérialisent des fonctions du commun, mais aussi des manières d’y entrer, d’y être reconnu, classé, accueilli, contrôlé ou exclu.</w:t>
      </w:r>
    </w:p>
    <w:p>
      <w:pPr>
        <w:pStyle w:val="BodyText"/>
        <w:bidi w:val="0"/>
        <w:jc w:val="start"/>
        <w:rPr/>
      </w:pPr>
      <w:r>
        <w:rPr/>
        <w:t>L’histoire politique devient alors inséparable d’une histoire des formes construites. La cité antique n’est pas pensable sans agora, murailles, temples, voies, dispositifs d’assemblée. La féodalité ne se comprend pas sans châteaux, domaines, chemins, églises, villages et servitudes attachées au sol. L’État moderne ne s’institue pas seulement par des lois : il se rend présent par routes, bureaux, archives, cadastres, écoles, casernes, tribunaux. L’État social ne se réduit pas à un principe de redistribution : il suppose guichets, caisses, hôpitaux, logements, statistiques, formulaires, réseaux administratifs, personnels formés.</w:t>
      </w:r>
    </w:p>
    <w:p>
      <w:pPr>
        <w:pStyle w:val="BodyText"/>
        <w:bidi w:val="0"/>
        <w:jc w:val="start"/>
        <w:rPr/>
      </w:pPr>
      <w:r>
        <w:rPr/>
        <w:t>Cette matérialité est plus visible encore lorsqu’elle se défait. Les guerres ne détruisent pas seulement des vies ; elles détruisent les conditions organisées de la vie commune. La rupture des réseaux d’eau, d’énergie, de transport, la destruction des écoles, des hôpitaux, des administrations, des logements, des archives ou des circuits alimentaires ne constituent pas des dommages extérieurs au politique. Elles atteignent le politique dans sa texture même. Il peut rester un État sur le papier, une constitution, des autorités, des déclarations de droits ; si les conditions matérielles d’exercice de ces droits sont détruites, l’ordre politique se vide de son effectivité.</w:t>
      </w:r>
    </w:p>
    <w:p>
      <w:pPr>
        <w:pStyle w:val="BodyText"/>
        <w:bidi w:val="0"/>
        <w:jc w:val="start"/>
        <w:rPr/>
      </w:pPr>
      <w:r>
        <w:rPr/>
        <w:t>Ce point n’impose aucun matérialisme simpliste. Les infrastructures ne déterminent pas mécaniquement les institutions ; elles les conditionnent, les prolongent, les contredisent parfois. Les institutions produisent des infrastructures, mais les infrastructures configurent en retour les possibilités institutionnelles. Les idées orientent les constructions, mais les constructions stabilisent ou démentent les idées. Les régimes décident d’aménagements, mais les aménagements redistribuent les rapports de pouvoir que les régimes prétendent maîtriser.</w:t>
      </w:r>
    </w:p>
    <w:p>
      <w:pPr>
        <w:pStyle w:val="BodyText"/>
        <w:bidi w:val="0"/>
        <w:jc w:val="start"/>
        <w:rPr/>
      </w:pPr>
      <w:r>
        <w:rPr/>
        <w:t>C’est cette circularité que les classifications ordinaires ne nomment pas. Les termes disponibles décrivent des formes de commandement, des principes de légitimation, des doctrines, des procédures. Ils ne nomment pas encore le plan où la politique devient capacité construite : là où les ressources sont prélevées, affectées, transformées en ouvrages, en institutions, en réseaux, en dispositifs ; là où des promesses deviennent des équipements, des droits deviennent des accès, des décisions deviennent des mondes habitables ou inhabitables.</w:t>
      </w:r>
    </w:p>
    <w:p>
      <w:pPr>
        <w:pStyle w:val="BodyText"/>
        <w:bidi w:val="0"/>
        <w:jc w:val="start"/>
        <w:rPr/>
      </w:pPr>
      <w:r>
        <w:rPr/>
        <w:t>Faute de nom propre, ce plan reste dispersé entre plusieurs vocabulaires : infrastructure, institution, dispositif, administration, urbanisme, architecture, technique, équipement, service public. Chacun éclaire une part du phénomène ; aucun ne permet d’en saisir l’unité politique. “Infrastructure” insiste sur le support matériel ; “institution”, sur la stabilisation normative ; “dispositif”, sur l’agencement opératoire ; “architecture”, sur la forme construite ; “administration”, sur la gestion ; “urbanisme”, sur l’organisation spatiale. Or ce qui se joue ici traverse tous ces registres à la fois.</w:t>
      </w:r>
    </w:p>
    <w:p>
      <w:pPr>
        <w:pStyle w:val="BodyText"/>
        <w:bidi w:val="0"/>
        <w:jc w:val="start"/>
        <w:rPr/>
      </w:pPr>
      <w:r>
        <w:rPr/>
        <w:t>Il faut donc atteindre une formulation plus précise. Non pour inventer un mot par goût du néologisme, mais parce que le lexique disponible disperse ce que l’analyse doit tenir ensemble : le pouvoir de faire advenir des conditions construites du commun, de bâtir, aménager, instituer, équiper, orienter l’espace et les capacités, produire des seuils d’accès, des formes d’usage, des dépendances, des possibilités de circulation, d’apprentissage, de soin, de protection et de transmission.</w:t>
      </w:r>
    </w:p>
    <w:p>
      <w:pPr>
        <w:pStyle w:val="BodyText"/>
        <w:bidi w:val="0"/>
        <w:jc w:val="start"/>
        <w:rPr/>
      </w:pPr>
      <w:r>
        <w:rPr/>
        <w:t>À ce stade seulement, le terme peut apparaître. L’archicratie ne vient pas désigner un régime de plus, ni concurrencer la République, la démocratie, la bureaucratie ou la technocratie. Elle nomme le plan où les principes, les formes de pouvoir, les idéologies, les intérêts sociaux, les métiers, les ressources, les infrastructures et les institutions se nouent dans la production effective des conditions de vie collective.</w:t>
      </w:r>
    </w:p>
    <w:p>
      <w:pPr>
        <w:pStyle w:val="BodyText"/>
        <w:bidi w:val="0"/>
        <w:jc w:val="start"/>
        <w:rPr/>
      </w:pPr>
      <w:r>
        <w:rPr/>
        <w:t>Dans son sens originel le plus strict, l’archicratie désigne le pouvoir de produire les conditions construites de l’existence commune.</w:t>
      </w:r>
    </w:p>
    <w:p>
      <w:pPr>
        <w:pStyle w:val="BodyText"/>
        <w:bidi w:val="0"/>
        <w:jc w:val="start"/>
        <w:rPr/>
      </w:pPr>
      <w:r>
        <w:rPr/>
        <w:t>Elle ne se réduit ni à l’architecture, entendue comme art de concevoir des bâtiments, ni à l’infrastructure, entendue comme support matériel d’une société, ni à l’institution, entendue comme forme stabilisée de norme ou d’organisation. Elle traverse ces registres parce qu’elle vise le plan où construire, aménager, équiper, instituer et entretenir deviennent des opérations politiques de premier ordre.</w:t>
      </w:r>
    </w:p>
    <w:p>
      <w:pPr>
        <w:pStyle w:val="BodyText"/>
        <w:bidi w:val="0"/>
        <w:jc w:val="start"/>
        <w:rPr/>
      </w:pPr>
      <w:r>
        <w:rPr/>
        <w:t xml:space="preserve">Son étymologie a ici une fonction de discernement. </w:t>
      </w:r>
      <w:r>
        <w:rPr>
          <w:rStyle w:val="Emphasis"/>
        </w:rPr>
        <w:t>Archè</w:t>
      </w:r>
      <w:r>
        <w:rPr/>
        <w:t xml:space="preserve"> renvoie au commencement, au principe, à ce qui ordonne et fonde ; </w:t>
      </w:r>
      <w:r>
        <w:rPr>
          <w:rStyle w:val="Emphasis"/>
        </w:rPr>
        <w:t>kratos</w:t>
      </w:r>
      <w:r>
        <w:rPr/>
        <w:t xml:space="preserve"> à la force agissante, à la capacité d’exercer et de produire des effets. Le terme permet ainsi de tenir ensemble ce que les catégories précédentes dispersaient : la production de conditions fondatrices et leur puissance effective d’organisation.</w:t>
      </w:r>
    </w:p>
    <w:p>
      <w:pPr>
        <w:pStyle w:val="BodyText"/>
        <w:bidi w:val="0"/>
        <w:jc w:val="start"/>
        <w:rPr/>
      </w:pPr>
      <w:r>
        <w:rPr/>
        <w:t>Ce qui est nommé n’est donc ni seulement une origine, ni seulement une force, mais une puissance de configuration : faire advenir un monde dans lequel certaines actions deviennent possibles, probables, faciles ou légitimes, tandis que d’autres deviennent coûteuses, marginales ou impraticables.</w:t>
      </w:r>
    </w:p>
    <w:p>
      <w:pPr>
        <w:pStyle w:val="BodyText"/>
        <w:bidi w:val="0"/>
        <w:jc w:val="start"/>
        <w:rPr/>
      </w:pPr>
      <w:r>
        <w:rPr/>
        <w:t>L’archicratie nomme la capacité à convertir une orientation politique, une décision collective, une allocation de ressources ou une rationalité technique en conditions durables d’existence. Elle ne se confond pas avec la souveraineté, qui dit qui décide en dernière instance ; elle demande ce que cette décision parvient à rendre possible, à bâtir, à maintenir, à transformer. Elle ne se confond pas avec la bureaucratie, qui décrit l’administration réglée, impersonnelle et procédurale ; elle interroge ce que cette administration rend matériellement praticable ou impraticable. Elle ne se confond pas avec la technocratie, qui désigne le pouvoir des experts ; elle regarde ce que ces savoirs, une fois inscrits dans des ouvrages, des institutions et des dispositifs, font au monde commun.</w:t>
      </w:r>
    </w:p>
    <w:p>
      <w:pPr>
        <w:pStyle w:val="BodyText"/>
        <w:bidi w:val="0"/>
        <w:jc w:val="start"/>
        <w:rPr/>
      </w:pPr>
      <w:r>
        <w:rPr/>
        <w:t>Sa nécessité tient à ce qu’aucune de ces catégories ne nomme exactement ce plan : faire tenir un monde par des conditions construites.</w:t>
      </w:r>
    </w:p>
    <w:p>
      <w:pPr>
        <w:pStyle w:val="BodyText"/>
        <w:bidi w:val="0"/>
        <w:jc w:val="start"/>
        <w:rPr/>
      </w:pPr>
      <w:r>
        <w:rPr/>
        <w:t>Le sens originel du terme est donc fortement matériel, sans être matérialiste au sens réducteur. Il ne dit pas que les constructions déterminent mécaniquement les formes politiques ; il dit que les formes politiques n’existent jamais sans constructions, équipements, médiations matérielles et organisations. Une constitution exige des tribunaux, des bureaux, des archives, des agents, des procédures, des espaces publics, des moyens de publication et des possibilités d’accès. Une école républicaine suppose bâtiments, maîtres, programmes, horaires, manuels, examens, inspections, budgets. Un droit au soin dépend de lits, de personnels, de routes, de médicaments, de systèmes d’information, de financements, de files d’attente et de critères de priorité.</w:t>
      </w:r>
    </w:p>
    <w:p>
      <w:pPr>
        <w:pStyle w:val="BodyText"/>
        <w:bidi w:val="0"/>
        <w:jc w:val="start"/>
        <w:rPr/>
      </w:pPr>
      <w:r>
        <w:rPr/>
        <w:t>Il importe toutefois de ne pas surinterpréter cette première apparition. L’archicratie ne désigne pas encore le paradigme ultérieur dans toute son extension, ni la théorie complète de la régulation qui articulera plus tard fondement, opération et épreuve. Elle apparaît d’abord comme découverte d’une puissance constitutive : le pouvoir de bâtir les conditions effectives du commun.</w:t>
      </w:r>
    </w:p>
    <w:p>
      <w:pPr>
        <w:pStyle w:val="BodyText"/>
        <w:bidi w:val="0"/>
        <w:jc w:val="start"/>
        <w:rPr/>
      </w:pPr>
      <w:r>
        <w:rPr/>
        <w:t>Sa force tient précisément à cette trajectoire. Née d’un constat matériel, elle porte déjà une question plus vaste : comment un ordre devient-il effectif ? Comment une société transforme-t-elle ses principes en conditions ? Comment une orientation politique devient-elle monde praticable ? Comment ce qui est décidé se convertit-il en accès, en murs, en routes, en procédures, en seuils, en capacités ?</w:t>
      </w:r>
    </w:p>
    <w:p>
      <w:pPr>
        <w:pStyle w:val="BodyText"/>
        <w:bidi w:val="0"/>
        <w:jc w:val="start"/>
        <w:rPr/>
      </w:pPr>
      <w:r>
        <w:rPr/>
        <w:t>L’archicratie rend visible ce que les catégories précédentes laissaient dispersé : le passage des régimes aux conditions, des doctrines aux équipements, des droits aux accès, des décisions aux milieux, des institutions aux formes d’existence. Elle ne remplace ni la République, ni la démocratie, ni la bureaucratie, ni la technocratie, ni l’institution ; elle les oblige à répondre à une question plus élémentaire : quel monde rendent-elles effectivement habitable ?</w:t>
      </w:r>
    </w:p>
    <w:p>
      <w:pPr>
        <w:pStyle w:val="BodyText"/>
        <w:bidi w:val="0"/>
        <w:spacing w:before="0" w:after="140"/>
        <w:jc w:val="start"/>
        <w:rPr>
          <w:rStyle w:val="Strong"/>
          <w:b w:val="false"/>
          <w:bCs w:val="false"/>
        </w:rPr>
      </w:pPr>
      <w:r>
        <w:rPr>
          <w:b w:val="false"/>
          <w:bCs w:val="false"/>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val="bestFit" w:percent="149"/>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ongti SC" w:cs="Arial Unicode MS"/>
        <w:kern w:val="2"/>
        <w:sz w:val="24"/>
        <w:szCs w:val="24"/>
        <w:lang w:val="fr-F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Liberation Serif" w:hAnsi="Liberation Serif" w:eastAsia="Songti SC" w:cs="Arial Unicode MS"/>
      <w:color w:val="auto"/>
      <w:kern w:val="2"/>
      <w:sz w:val="24"/>
      <w:szCs w:val="24"/>
      <w:lang w:val="fr-FR" w:eastAsia="zh-CN" w:bidi="hi-IN"/>
    </w:rPr>
  </w:style>
  <w:style w:type="paragraph" w:styleId="Heading1">
    <w:name w:val="heading 1"/>
    <w:basedOn w:val="Titreuser"/>
    <w:next w:val="BodyText"/>
    <w:qFormat/>
    <w:pPr>
      <w:spacing w:before="240" w:after="120"/>
      <w:outlineLvl w:val="0"/>
    </w:pPr>
    <w:rPr>
      <w:rFonts w:ascii="Liberation Serif" w:hAnsi="Liberation Serif" w:eastAsia="Songti SC" w:cs="Arial Unicode MS"/>
      <w:b/>
      <w:bCs/>
      <w:sz w:val="48"/>
      <w:szCs w:val="48"/>
    </w:rPr>
  </w:style>
  <w:style w:type="paragraph" w:styleId="Heading2">
    <w:name w:val="heading 2"/>
    <w:basedOn w:val="Titreuser"/>
    <w:next w:val="BodyText"/>
    <w:qFormat/>
    <w:pPr>
      <w:spacing w:before="200" w:after="120"/>
      <w:outlineLvl w:val="1"/>
    </w:pPr>
    <w:rPr>
      <w:rFonts w:ascii="Liberation Serif" w:hAnsi="Liberation Serif" w:eastAsia="Songti SC" w:cs="Arial Unicode MS"/>
      <w:b/>
      <w:bCs/>
      <w:sz w:val="36"/>
      <w:szCs w:val="36"/>
    </w:rPr>
  </w:style>
  <w:style w:type="paragraph" w:styleId="Heading3">
    <w:name w:val="heading 3"/>
    <w:basedOn w:val="Titreuser"/>
    <w:next w:val="BodyText"/>
    <w:qFormat/>
    <w:pPr>
      <w:spacing w:before="140" w:after="120"/>
      <w:outlineLvl w:val="2"/>
    </w:pPr>
    <w:rPr>
      <w:rFonts w:ascii="Liberation Serif" w:hAnsi="Liberation Serif" w:eastAsia="Songti SC" w:cs="Arial Unicode MS"/>
      <w:b/>
      <w:bCs/>
      <w:sz w:val="28"/>
      <w:szCs w:val="28"/>
    </w:rPr>
  </w:style>
  <w:style w:type="character" w:styleId="Strong">
    <w:name w:val="Strong"/>
    <w:qFormat/>
    <w:rPr>
      <w:b/>
      <w:bCs/>
    </w:rPr>
  </w:style>
  <w:style w:type="character" w:styleId="Emphasis">
    <w:name w:val="Emphasis"/>
    <w:qFormat/>
    <w:rPr>
      <w:i/>
      <w:iCs/>
    </w:rPr>
  </w:style>
  <w:style w:type="character" w:styleId="Pucesuser">
    <w:name w:val="Puces (user)"/>
    <w:qFormat/>
    <w:rPr>
      <w:rFonts w:ascii="OpenSymbol" w:hAnsi="OpenSymbol" w:eastAsia="OpenSymbol" w:cs="OpenSymbol"/>
    </w:rPr>
  </w:style>
  <w:style w:type="character" w:styleId="Caractresdenumrotationuser">
    <w:name w:val="Caractères de numérotation (user)"/>
    <w:qFormat/>
    <w:rPr/>
  </w:style>
  <w:style w:type="paragraph" w:styleId="Titre">
    <w:name w:val="Titre"/>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reuser">
    <w:name w:val="Titre (user)"/>
    <w:basedOn w:val="Normal"/>
    <w:next w:val="BodyText"/>
    <w:qFormat/>
    <w:pPr>
      <w:keepNext w:val="true"/>
      <w:spacing w:before="240" w:after="120"/>
    </w:pPr>
    <w:rPr>
      <w:rFonts w:ascii="Liberation Sans" w:hAnsi="Liberation Sans" w:eastAsia="Arial Unicode MS" w:cs="Arial Unicode MS"/>
      <w:sz w:val="28"/>
      <w:szCs w:val="28"/>
    </w:rPr>
  </w:style>
  <w:style w:type="paragraph" w:styleId="Lignehorizontaleuser">
    <w:name w:val="Ligne horizontale (user)"/>
    <w:basedOn w:val="Normal"/>
    <w:next w:val="BodyText"/>
    <w:qFormat/>
    <w:pPr>
      <w:suppressLineNumbers/>
      <w:pBdr>
        <w:bottom w:val="double" w:sz="2" w:space="0" w:color="808080"/>
      </w:pBdr>
      <w:spacing w:before="0" w:after="283"/>
    </w:pPr>
    <w:rPr>
      <w:sz w:val="12"/>
      <w:szCs w:val="12"/>
    </w:rPr>
  </w:style>
  <w:style w:type="paragraph" w:styleId="Title">
    <w:name w:val="Title"/>
    <w:basedOn w:val="Titreuser"/>
    <w:next w:val="BodyText"/>
    <w:qFormat/>
    <w:pPr>
      <w:jc w:val="center"/>
    </w:pPr>
    <w:rPr>
      <w:b/>
      <w:bCs/>
      <w:sz w:val="56"/>
      <w:szCs w:val="56"/>
    </w:rPr>
  </w:style>
  <w:style w:type="paragraph" w:styleId="Subtitle">
    <w:name w:val="Subtitle"/>
    <w:basedOn w:val="Titreuser"/>
    <w:next w:val="BodyText"/>
    <w:qFormat/>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138</TotalTime>
  <Application>LibreOffice/26.2.1.2$MacOSX_AARCH64 LibreOffice_project/8399f6259d8c87f40e7255cdb3c9b958f5e08948</Application>
  <AppVersion>15.0000</AppVersion>
  <Pages>8</Pages>
  <Words>3823</Words>
  <Characters>23117</Characters>
  <CharactersWithSpaces>26895</CharactersWithSpaces>
  <Paragraphs>55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2026-05-03T15:13:07Z</dcterms:created>
  <dc:creator/>
  <dc:description/>
  <dc:language>fr-FR</dc:language>
  <cp:lastModifiedBy/>
  <dcterms:modified xsi:type="dcterms:W3CDTF">2026-05-04T16:00:01Z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