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spacing w:before="240" w:after="120"/>
        <w:rPr/>
      </w:pPr>
      <w:r>
        <w:rPr/>
        <w:t>Prologue — Fondation, finalité sociopolitique et historique</w:t>
      </w:r>
    </w:p>
    <w:p>
      <w:pPr>
        <w:pStyle w:val="BodyText"/>
        <w:widowControl/>
        <w:numPr>
          <w:ilvl w:val="0"/>
          <w:numId w:val="0"/>
        </w:numPr>
        <w:suppressAutoHyphens w:val="true"/>
        <w:spacing w:lineRule="auto" w:line="276"/>
        <w:jc w:val="start"/>
        <w:rPr/>
      </w:pPr>
      <w:r>
        <w:rPr/>
        <w:t>Le 29 mai 2005, le référendum français sur le traité constitutionnel européen donne un résultat clair : le non l’emporte.</w:t>
      </w:r>
    </w:p>
    <w:p>
      <w:pPr>
        <w:pStyle w:val="BodyText"/>
        <w:rPr/>
      </w:pPr>
      <w:r>
        <w:rPr/>
        <w:t>Pendant plusieurs semaines, la scène démocratique avait retrouvé une intensité rare. Le texte avait circulé dans les journaux, les réunions publiques, les partis, les syndicats, les familles, les plateaux de télévision, les tracts, les conversations ordinaires. On y parlait d’Europe, de souveraineté, de marché, de services publics, de droit social, de monnaie, de concurrence, de constitution. Des lignes de fracture traversaient les camps politiques habituels. La question était posée. Le corps électoral répondait. Le résultat était reconnu.</w:t>
      </w:r>
    </w:p>
    <w:p>
      <w:pPr>
        <w:pStyle w:val="BodyText"/>
        <w:rPr/>
      </w:pPr>
      <w:r>
        <w:rPr/>
        <w:t>Rien ne paraît plus directement politique qu’un peuple appelé à se prononcer sur l’architecture institutionnelle dans laquelle il accepte, ou refuse, de s’inscrire.</w:t>
      </w:r>
    </w:p>
    <w:p>
      <w:pPr>
        <w:pStyle w:val="BodyText"/>
        <w:rPr/>
      </w:pPr>
      <w:r>
        <w:rPr/>
        <w:t>Pourtant, deux ans plus tard, l’essentiel des dispositions institutionnelles revient par une autre voie : le traité de Lisbonne, ratifié en France par le Parlement réuni en Congrès à Versailles. Le vote n’a pas été juridiquement effacé. La démocratie ne s’est pas abolie pour autant. Une telle lecture manquerait le point le plus troublant. La scène avait eu lieu ; la parole collective avait été comptée ; le résultat avait été admis. Mais cette scène n’a pas suffi à infléchir durablement la trajectoire régulatrice dans laquelle elle prétendait intervenir.</w:t>
      </w:r>
    </w:p>
    <w:p>
      <w:pPr>
        <w:pStyle w:val="BodyText"/>
        <w:rPr/>
      </w:pPr>
      <w:r>
        <w:rPr/>
        <w:t>Ce qui s’ouvre ici dépasse la crise de confiance ou la blessure symbolique laissée dans la mémoire démocratique française. Une fissure plus profonde apparaît : une scène peut engager une parole collective, produire un acte clair, recevoir une reconnaissance formelle, et manquer pourtant de la prise nécessaire pour transformer l’ordre où cet acte s’inscrit. Tout y était : un texte, une campagne, un vote, un résultat, une controverse. Ce qui vacille n’est pas la présence du politique, mais la capacité d’une scène politique à rejoindre les architectures effectives où se stabilisent les décisions.</w:t>
      </w:r>
    </w:p>
    <w:p>
      <w:pPr>
        <w:pStyle w:val="BodyText"/>
        <w:rPr/>
      </w:pPr>
      <w:r>
        <w:rPr/>
        <w:t>Ce déplacement est moins spectaculaire qu’un effondrement. Il est plus difficile à saisir. Il ne dit pas que les institutions seraient vides, que les votes seraient sans valeur, que la parole collective serait devenue inutile. Il indique autre chose : le lieu où une volonté se formule ne coïncide plus toujours avec le lieu où les trajectoires se décident. Entre l’acte démocratique et la chaîne de ses effets s’interpose une épaisseur de normes, de procédures, de contraintes, d’engagements antérieurs, de cadres transnationaux, de rythmes institutionnels. La décision existe, mais elle rencontre un ordre déjà structuré, qui l’absorbe, la requalifie, la diffère ou la contourne.</w:t>
      </w:r>
    </w:p>
    <w:p>
      <w:pPr>
        <w:pStyle w:val="BodyText"/>
        <w:rPr/>
      </w:pPr>
      <w:r>
        <w:rPr/>
        <w:t>La question politique ne sort pas intacte d’un tel écart.</w:t>
      </w:r>
    </w:p>
    <w:p>
      <w:pPr>
        <w:pStyle w:val="BodyText"/>
        <w:rPr/>
      </w:pPr>
      <w:r>
        <w:rPr/>
        <w:t>Depuis lors, les noms se sont multipliés : démocratie illibérale, technocratie, ploutocratie, post-démocratie, gouvernement algorithmique, démocrature. Ils isolent des dérives réelles, des captures, des fermetures, des mutations. Ils disent quelque chose du présent. Leur profusion signale pourtant une gêne. Nous savons encore désigner des figures du pouvoir ; nous savons moins suivre les régulations qui les traversent, les prolongent, les dispersent ou les rendent partiellement inopérantes. Nous nommons des régimes, des déviations, des excès. Nous peinons davantage à comprendre comment une décision circule, où elle se transforme, par quels instruments elle prend effet, à quel moment elle devient presque impossible à reprendre.</w:t>
      </w:r>
    </w:p>
    <w:p>
      <w:pPr>
        <w:pStyle w:val="BodyText"/>
        <w:rPr/>
      </w:pPr>
      <w:r>
        <w:rPr/>
        <w:t>Les catégories politiques classiques ne sont pas devenues fausses. L’État existe encore ; les lois se votent, les administrations instruisent, les tribunaux statuent, les parlements délibèrent, les élections ont lieu. Des gouvernements tombent, se maintiennent, négocient, arbitrent. Rien de tout cela n’a disparu. La difficulté vient précisément de là : ce qui demeure visible ne suffit plus à rendre lisible l’ensemble de ce qui agit.</w:t>
      </w:r>
    </w:p>
    <w:p>
      <w:pPr>
        <w:pStyle w:val="BodyText"/>
        <w:rPr/>
      </w:pPr>
      <w:r>
        <w:rPr/>
        <w:t>Une part croissante de ce qui affecte les existences se joue dans des chaînes moins directement assignables : protocoles techniques, normes privées, standards internationaux, contraintes budgétaires, interfaces numériques, indicateurs, plateformes administratives. Ces éléments n’ont pas remplacé les institutions. Ils les traversent, les équipent, les prolongent, parfois les déplacent. Le pouvoir ne s’est pas absenté. Il a changé de régime d’apparition.</w:t>
      </w:r>
    </w:p>
    <w:p>
      <w:pPr>
        <w:pStyle w:val="BodyText"/>
        <w:rPr/>
      </w:pPr>
      <w:r>
        <w:rPr/>
        <w:t>Ce changement s’annonce rarement comme rupture. Il ne prend pas toujours la forme d’un coup de force, d’une décision spectaculaire, d’une suspension déclarée des droits ou d’une disparition visible des institutions. Il s’installe dans la continuité ordinaire des dispositifs : amélioration des procédures, simplification des démarches, rationalisation des coûts, accélération des traitements, harmonisation des critères. Rien ne semble alors sortir du langage de la bonne administration. Pourtant, la décision ne paraît plus toujours comme décision. Elle prend la forme d’un seuil, d’un score, d’un barème, d’une notification, d’un recalcul, d’une mise en conformité, d’une priorité ajustée.</w:t>
      </w:r>
    </w:p>
    <w:p>
      <w:pPr>
        <w:pStyle w:val="BodyText"/>
        <w:rPr/>
      </w:pPr>
      <w:r>
        <w:rPr/>
        <w:t>Le lieu du pouvoir se transforme. Sa possibilité d’adresse aussi.</w:t>
      </w:r>
    </w:p>
    <w:p>
      <w:pPr>
        <w:pStyle w:val="BodyText"/>
        <w:rPr/>
      </w:pPr>
      <w:r>
        <w:rPr/>
        <w:t>On identifie encore des institutions, des responsables, des textes, des discours. Mais les effets décisifs passent par des médiations où les responsabilités se distribuent, où les critères se naturalisent, où les décisions se fragmentent en opérations successives. La visibilité d’un pouvoir ne le rend pas adressable. La connaissance d’une procédure ne la rend pas contestable. La trace d’une décision ne garantit aucune reprise. Un résultat se produit, se notifie, s’archive, s’oppose à une personne, sans que l’espace où il devrait être discuté soit réellement praticable.</w:t>
      </w:r>
    </w:p>
    <w:p>
      <w:pPr>
        <w:pStyle w:val="BodyText"/>
        <w:rPr/>
      </w:pPr>
      <w:r>
        <w:rPr/>
        <w:t>Le référendum de 2005 donne une figure haute de ce problème : une scène démocratique majeure existe, mais sa prise se révèle limitée. Des scènes plus ordinaires en donnent chaque jour des formes plus discrètes. Elles ne frappent pas l’histoire avec la même intensité. Elles n’en disent pas moins quelque chose de l’époque, parce qu’elles touchent des vies avant même d’être reconnues comme politiques.</w:t>
      </w:r>
    </w:p>
    <w:p>
      <w:pPr>
        <w:pStyle w:val="BodyText"/>
        <w:rPr/>
      </w:pPr>
      <w:r>
        <w:rPr/>
        <w:t>Une demande de titre de séjour se trouve suspendue par une plateforme pour anomalie de saisie. La personne concernée ne rencontre pas d’abord une décision, mais un espace en ligne, un formulaire, un message standard, un délai, une pièce déjà transmise, l’impossibilité de joindre le bon service. Elle ne sait pas toujours si son dossier est refusé, en attente, incomplet, mal orienté, perdu dans une file numérique. Ce qui est en jeu n’a pourtant rien d’abstrait : travail, logement, famille, circulation, statut. Une vie entière dépend d’une opération qui ne se présente jamais comme décision politique, mais comme traitement administratif.</w:t>
      </w:r>
    </w:p>
    <w:p>
      <w:pPr>
        <w:pStyle w:val="BodyText"/>
        <w:rPr/>
      </w:pPr>
      <w:r>
        <w:rPr/>
        <w:t xml:space="preserve">Ailleurs, un versement s’interrompt après recalcul. Une orientation scolaire se joue dans une chaîne où se mêlent dossiers, attendus, capacités d’accueil et pondérations. Un crédit, une aide, une priorité médicale </w:t>
      </w:r>
      <w:r>
        <w:rPr/>
        <w:t>et</w:t>
      </w:r>
      <w:r>
        <w:rPr/>
        <w:t xml:space="preserve"> un accès à un service dépendent de critères dont la logique demeure partiellement opaque pour ceux qu’elle affecte. Dans ces situations, quelque chose décide, classe, autorise, retarde ou exclut. Mais ce quelque chose ne comparaît pas toujours comme pouvoir. Il se donne comme procédure, traitement, calcul, nécessité.</w:t>
      </w:r>
    </w:p>
    <w:p>
      <w:pPr>
        <w:pStyle w:val="BodyText"/>
        <w:rPr/>
      </w:pPr>
      <w:r>
        <w:rPr/>
        <w:t>La banalité de ces situations fait leur force. Elles appartiennent au quotidien des sociétés régulées : interfaces, seuils, justificatifs, files d’attente, classements, tableaux de bord, notifications. Rien n’y ressemble nécessairement à un ordre brutal. Aucun agent ne lève la voix. Aucune souveraineté ne se dresse en majesté. Pourtant, une existence s’y trouve infléchie, appauvrie, immobilisée, rendue plus dépendante, moins audible. La contrainte n’a pas besoin de s’annoncer comme commandement pour produire des effets politiques.</w:t>
      </w:r>
    </w:p>
    <w:p>
      <w:pPr>
        <w:pStyle w:val="BodyText"/>
        <w:rPr/>
      </w:pPr>
      <w:r>
        <w:rPr/>
        <w:t>Demander qui gouverne demeure nécessaire. Mais la question arrive trop tard lorsque les chaînes par lesquelles la décision s’est déjà faite restent hors de portée. Il s’agit alors de suivre la manière dont une régulation tient, agit, se justifie, se rend praticable ou impraticable pour ceux qu’elle affecte. Une société ne se livre pas dans ses institutions déclarées ; elle se lit aussi dans les médiations qui organisent ses arbitrages, dans les formats qui rendent certaines vies visibles et d’autres secondaires, dans les procédures qui transforment des blessures en dossiers, des différends en anomalies, des conflits en traitements.</w:t>
      </w:r>
    </w:p>
    <w:p>
      <w:pPr>
        <w:pStyle w:val="BodyText"/>
        <w:rPr/>
      </w:pPr>
      <w:r>
        <w:rPr/>
        <w:t>La question devient alors plus exigeante : qu’est-ce qu’un ordre qui tient ?</w:t>
      </w:r>
    </w:p>
    <w:p>
      <w:pPr>
        <w:pStyle w:val="BodyText"/>
        <w:rPr/>
      </w:pPr>
      <w:r>
        <w:rPr/>
        <w:t>Tenir ne signifie pas durer. Une domination dure. Une injustice dure. Un ordre se maintient en détruisant ce qui le rend habitable. Il fonctionne longtemps tout en rendant certaines existences plus exposées, moins audibles, plus dépendantes de procédures qu’elles ne comprennent ni n’infléchissent. Il accumule des normes, produit des indicateurs, ouvre des recours, affiche des garanties, et réduit pourtant la possibilité effective de faire valoir ce qu’il abîme.</w:t>
      </w:r>
    </w:p>
    <w:p>
      <w:pPr>
        <w:pStyle w:val="BodyText"/>
        <w:rPr/>
      </w:pPr>
      <w:r>
        <w:rPr/>
        <w:t>Tenir, dans le sens qui importe ici, désigne autre chose. Un monde tient politiquement lorsqu’il rend possible la coexistence de formes de vie dissemblables, vulnérables, inégalement exposées, traversées de contradictions, sans que certaines soient sacrifiées aux conditions imposées aux autres. Il tient lorsque les tensions qu’il produit ou reçoit ne sont pas aussitôt rejetées comme désordres, retards, résistances, coûts, défaillances individuelles. Il tient lorsque ce qui souffre apparaît, se formule, oblige une réponse, transforme quelque chose de l’ordre qui l’a rendu possible.</w:t>
      </w:r>
    </w:p>
    <w:p>
      <w:pPr>
        <w:pStyle w:val="BodyText"/>
        <w:rPr/>
      </w:pPr>
      <w:r>
        <w:rPr/>
        <w:t>Cette possibilité fragile, nous la nommons co-viabilité.</w:t>
      </w:r>
    </w:p>
    <w:p>
      <w:pPr>
        <w:pStyle w:val="BodyText"/>
        <w:rPr/>
      </w:pPr>
      <w:r>
        <w:rPr/>
        <w:t>Un monde co-viable n’est pas un monde apaisé. Il ne promet ni harmonie, ni paix civile, ni réconciliation finale. Il possède encore des formes pour porter ce qui le divise. Il sait encore reconnaître des tensions, les différer, les symboliser, les disputer, les reprendre, sans les abolir par force ni les abandonner à leur pure destruction. La co-viabilité nomme cette tenue précaire : non l’absence de conflit, mais la possibilité pour un conflit de ne pas devenir immédiatement ruine du commun.</w:t>
      </w:r>
    </w:p>
    <w:p>
      <w:pPr>
        <w:pStyle w:val="BodyText"/>
        <w:rPr/>
      </w:pPr>
      <w:r>
        <w:rPr/>
        <w:t>Les sociétés ne tiennent pas parce qu’elles auraient supprimé ce qui les divise. Elles tiennent lorsqu’elles donnent forme à leurs divisions. Une souffrance devient objection. Un dommage devient litige. Une règle se rapporte à ses effets. Un pouvoir se trouve rappelé aux raisons qu’il invoque. Là où ces transformations deviennent impossibles, la conflictualité ne disparaît pas. Elle se déplace, s’épuise, se disperse ou revient sous des formes plus dures.</w:t>
      </w:r>
    </w:p>
    <w:p>
      <w:pPr>
        <w:pStyle w:val="BodyText"/>
        <w:rPr/>
      </w:pPr>
      <w:r>
        <w:rPr/>
        <w:t>La politique commence aussi là : dans la possibilité de faire apparaître ce qui affecte, de le rendre partageable, de le mettre en tension, de le soumettre à une reprise. Un ordre peut posséder des institutions solides et perdre cette capacité. Il accumule normes, recours, consultations, rapports, indicateurs, tout en rendant difficile l’épreuve effective de ce qu’il produit. La scène demeure alors, mais quelque chose se retire d’elle. Elle continue d’accueillir des paroles, des procédures, des justifications ; elle ne parvient plus toujours à rejoindre les chaînes où les effets se décident.</w:t>
      </w:r>
    </w:p>
    <w:p>
      <w:pPr>
        <w:pStyle w:val="BodyText"/>
        <w:rPr/>
      </w:pPr>
      <w:r>
        <w:rPr/>
        <w:t>La scène peut subsister comme forme et se vider comme puissance.</w:t>
      </w:r>
    </w:p>
    <w:p>
      <w:pPr>
        <w:pStyle w:val="BodyText"/>
        <w:rPr/>
      </w:pPr>
      <w:r>
        <w:rPr/>
        <w:t>Le référendum de 2005 en a donné une figure. La Convention citoyenne pour le climat en offre une autre, plus récente, plus ambiguë. Après le mouvement des Gilets jaunes, cent cinquante citoyennes et citoyens tirés au sort sont réunis pour travailler sur la réduction des émissions de gaz à effet de serre dans un esprit de justice sociale. Des experts interviennent. Des auditions ont lieu. Les propositions sont discutées, formulées, rendues publiques. Pendant un moment, une scène prend forme : des citoyens non professionnels de la politique se saisissent d’enjeux que l’on croyait réservés aux administrations, aux experts, aux négociateurs, aux arbitrages gouvernementaux.</w:t>
      </w:r>
    </w:p>
    <w:p>
      <w:pPr>
        <w:pStyle w:val="BodyText"/>
        <w:rPr/>
      </w:pPr>
      <w:r>
        <w:rPr/>
        <w:t>Ce moment n’a rien d’anecdotique. Il ouvre, même brièvement, une possibilité rare : des existences ordinaires entrent dans un problème systémique, apprennent ses contraintes, en éprouvent les tensions, formulent des propositions qui engagent l’organisation matérielle du commun. La scène n’était pas fictive. Elle n’était pas un décor. Des choses s’y sont dites, apprises, déplacées. Pourtant, sa traduction politique est restée partielle, sélective, affaiblie. La promesse d’une reprise « sans filtre » s’est défaite dans les arbitrages, les commissions, les reformulations, les retraits, les délais.</w:t>
      </w:r>
    </w:p>
    <w:p>
      <w:pPr>
        <w:pStyle w:val="BodyText"/>
        <w:rPr/>
      </w:pPr>
      <w:r>
        <w:rPr/>
        <w:t>Là encore, la parole ne manque pas. Elle a même pris une forme travaillée, instruite, collective. Le problème tient à l’écart entre une comparution réelle et une capacité de transformation limitée. La scène existe ; elle produit du jugement, de l’attention, de la formulation. Mais elle ne dispose pas de la prise nécessaire pour modifier l’ordre qu’elle rend visible.</w:t>
      </w:r>
    </w:p>
    <w:p>
      <w:pPr>
        <w:pStyle w:val="BodyText"/>
        <w:rPr/>
      </w:pPr>
      <w:r>
        <w:rPr/>
        <w:t>Les deux cas ne disent pas exactement la même chose. En 2005, une scène de souveraineté populaire produit un résultat dont la trajectoire institutionnelle ultérieure limite la portée. Avec la Convention citoyenne, une scène délibérative formule des propositions dont la reprise politique demeure fragile. Dans les deux cas, la démocratie n’est pas absente. La parole apparaît, la scène prend forme, l’acte existe. Pourtant, ces scènes peinent à rejoindre les circuits où les décisions prennent durablement forme.</w:t>
      </w:r>
    </w:p>
    <w:p>
      <w:pPr>
        <w:pStyle w:val="BodyText"/>
        <w:rPr/>
      </w:pPr>
      <w:r>
        <w:rPr/>
        <w:t>L’épisode belge de 2010-2011 éclaire un autre versant du problème. Pendant de longs mois, l’État fédéral demeure sans gouvernement de plein exercice. Le pays ne s’effondre pas. Les administrations continuent d’agir. Les services publics fonctionnent. Les cadres normatifs persistent. L’événement ne rend pas le gouvernement superflu. Il montre qu’un ordre tient au-delà de la figure visible du commandement, par inerties, routines, structures administratives, compromis latents, agencements distribués. Là où l’on attendait la décision souveraine, on découvre l’épaisseur des continuités régulatrices.</w:t>
      </w:r>
    </w:p>
    <w:p>
      <w:pPr>
        <w:pStyle w:val="BodyText"/>
        <w:rPr/>
      </w:pPr>
      <w:r>
        <w:rPr/>
        <w:t>Ainsi se dessine une difficulté plus vaste. Des scènes démocratiques existent sans infléchir suffisamment les trajectoires régulatrices ; des régulations fonctionnent sans scène politique pleinement lisible. Entre les deux, le politique ne disparaît pas. Il se dissocie. Ce qui fonde, ce qui opère et ce qui devrait être mis à l’épreuve ne coïncident plus. Les principes demeurent, les opérations continuent, les procédures subsistent, mais leur articulation devient incertaine.</w:t>
      </w:r>
    </w:p>
    <w:p>
      <w:pPr>
        <w:pStyle w:val="BodyText"/>
        <w:rPr/>
      </w:pPr>
      <w:r>
        <w:rPr/>
        <w:t>Cette dissociation traverse les institutions et les vies. Elle apparaît dans l’école, l’hôpital, le travail, l’accès aux droits, la fiscalité, l’administration numérique, les plateformes, les politiques environnementales. Un dispositif affiche une finalité d’équité tout en produisant des effets de tri difficilement contestables. Une réforme se réclame de la justice tout en opérant par seuils budgétaires. Une plateforme promet la simplicité tout en rendant plus difficile l’explication d’un cas singulier. Un indicateur prétend éclairer une décision, puis finit par se substituer au jugement qu’il devait servir.</w:t>
      </w:r>
    </w:p>
    <w:p>
      <w:pPr>
        <w:pStyle w:val="BodyText"/>
        <w:rPr/>
      </w:pPr>
      <w:r>
        <w:rPr/>
        <w:t>La violence propre de ces situations tient à leur apparence de normalité. Les droits ne sont pas toujours suspendus ; ils se conditionnent. Les recours demeurent, mais deviennent longs, étroits, techniques, décourageants. La parole circule, mais dans des formats qui l’épuisent. La scène ne se ferme pas brutalement ; elle se déplace, se sature, perd sa puissance. Le pouvoir n’a pas besoin de se dresser devant les sujets pour les orienter. Il les entoure de formes.</w:t>
      </w:r>
    </w:p>
    <w:p>
      <w:pPr>
        <w:pStyle w:val="BodyText"/>
        <w:rPr/>
      </w:pPr>
      <w:r>
        <w:rPr/>
        <w:t>Les oppositions ordinaires deviennent alors insuffisantes : État ou marché, public ou privé, pouvoir fort ou pouvoir faible, décision politique ou exécution technique. Une régulation publique par ses effets peut devenir privée par ses instruments. Une finalité étatique peut s’accomplir par opération algorithmique. Une décision démocratiquement annoncée s’affaiblit dans son traitement administratif. Une mesure contestable en droit demeure presque inaccessible en pratique.</w:t>
      </w:r>
    </w:p>
    <w:p>
      <w:pPr>
        <w:pStyle w:val="BodyText"/>
        <w:rPr/>
      </w:pPr>
      <w:r>
        <w:rPr/>
        <w:t>Ce que nous cherchons à penser se tient là : dans l’écart entre l’existence formelle d’une scène et sa capacité réelle de reprise ; entre la visibilité d’une procédure et son opposabilité ; entre la déclaration d’un principe et la chaîne qui le transforme en effet. Une démocratie conserve ses rites et perd une part de sa capacité à faire comparaître les régulations qui la traversent. Une administration multiplie les procédures et réduit la possibilité de discuter ce qu’elles produisent. Une société produit beaucoup d’information et peu de prise.</w:t>
      </w:r>
    </w:p>
    <w:p>
      <w:pPr>
        <w:pStyle w:val="BodyText"/>
        <w:rPr/>
      </w:pPr>
      <w:r>
        <w:rPr/>
        <w:t>La visibilité montre ; la comparution oblige à répondre. Un résultat visible se publie, se mesure, se trace, se classe. Un résultat qui comparaît doit répondre de ses raisons, de ses critères, de ses responsabilités, de ses effets. Une société publie tout, mesure tout, classe tout, trace tout, et laisse encore ceux qu’elle affecte devant des résultats qu’ils ne parviennent pas à discuter. L’opacité contemporaine ne tient donc pas d’abord à l’absence de données. Elle tient à l’impossibilité pratique de rapporter ces données à une décision contestable.</w:t>
      </w:r>
    </w:p>
    <w:p>
      <w:pPr>
        <w:pStyle w:val="BodyText"/>
        <w:rPr/>
      </w:pPr>
      <w:r>
        <w:rPr/>
        <w:t>La scène occupe ici une place centrale. Elle n’est pas un décor public, une cérémonie, un lieu de parole ou un espace d’expression. Elle est la forme dans laquelle une régulation devient adressable. Une scène existe lorsque ce qui fonde une régulation et ce qui l’opère peuvent être rapportés l’un à l’autre, exposés aux objections, confrontés à leurs effets, révisés dans un délai praticable. Sans cela, il y a communication, consultation, débat médiatique, participation, même controverse, sans véritable prise.</w:t>
      </w:r>
    </w:p>
    <w:p>
      <w:pPr>
        <w:pStyle w:val="BodyText"/>
        <w:rPr/>
      </w:pPr>
      <w:r>
        <w:rPr/>
        <w:t>Or cette prise se fragilise. La parole circule, mais elle ne transforme pas toujours. Les diagnostics abondent, mais les leviers restent ailleurs. Les colères s’expriment, mais elles peinent à rejoindre les architectures qui produisent leurs objets. Les institutions répondent, mais à côté du lieu où le dommage se forme. Les scènes se multiplient en surface, tandis que les chaînes d’effectuation se déplacent hors d’elles.</w:t>
      </w:r>
    </w:p>
    <w:p>
      <w:pPr>
        <w:pStyle w:val="BodyText"/>
        <w:rPr/>
      </w:pPr>
      <w:r>
        <w:rPr/>
        <w:t>Ce déplacement n’est pas né d’un événement unique. Il s’inscrit dans une histoire longue : transformation de l’État, mondialisation des chaînes économiques, montée des normes privées, financiarisation, construction européenne, numérisation administrative, extension des plateformes, gouvernement par indicateurs. Pris isolément, aucun de ces processus ne suffit. Ensemble, ils modifient la manière dont un ordre devient opérant.</w:t>
      </w:r>
    </w:p>
    <w:p>
      <w:pPr>
        <w:pStyle w:val="BodyText"/>
        <w:rPr/>
      </w:pPr>
      <w:r>
        <w:rPr/>
        <w:t>Le néolibéralisme n’épuise pas cette histoire, mais il en intensifie une ligne majeure. Il a moins supprimé la régulation qu’il ne l’a déplacée vers des instruments plus diffus : normes de performance, indicateurs, évaluations comparatives, contraintes budgétaires, pilotage par objectifs. Sous le nom de dérégulation, il a souvent produit une autre régulation, moins immédiatement politique, plus procédurale, plus difficile à contester dans ses fondements mêmes.</w:t>
      </w:r>
    </w:p>
    <w:p>
      <w:pPr>
        <w:pStyle w:val="BodyText"/>
        <w:rPr/>
      </w:pPr>
      <w:r>
        <w:rPr/>
        <w:t>Ce déplacement affecte la manière dont les décisions se justifient. Le marché tend à se présenter comme instance de vérité. La performance tend à valoir preuve. L’indicateur tend à valoir jugement. Ce qui réussit semble se justifier par le fait même de réussir. Le calcul ne se contente plus d’éclairer le politique ; il prétend le dispenser de comparaître.</w:t>
      </w:r>
    </w:p>
    <w:p>
      <w:pPr>
        <w:pStyle w:val="BodyText"/>
        <w:rPr/>
      </w:pPr>
      <w:r>
        <w:rPr/>
        <w:t>Dans le même temps, les opérations se multiplient. Des seuils budgétaires orientent des politiques locales. Des standards transnationaux redéfinissent des marges nationales. Des plateformes organisent l’accès à des droits, des services, des emplois, des publics. Des algorithmes filtrent des demandes. Des classements modifient les conduites des institutions. Le pouvoir n’a pas besoin de prendre la forme d’un ordre souverain. Il agit par environnement, incitation, format, contrainte douce ou sèche, distribution des possibles.</w:t>
      </w:r>
    </w:p>
    <w:p>
      <w:pPr>
        <w:pStyle w:val="BodyText"/>
        <w:rPr/>
      </w:pPr>
      <w:r>
        <w:rPr/>
        <w:t>Les instruments ne sont pas en cause par nature. Toute société suppose des médiations. Une procédure protège, un indicateur éclaire, une interface simplifie, un standard rend comparable. La difficulté commence lorsque ces médiations se détachent des raisons qui devraient les rendre discutables, ou lorsque leurs effets ne reviennent plus vers des scènes capables de les reprendre.</w:t>
      </w:r>
    </w:p>
    <w:p>
      <w:pPr>
        <w:pStyle w:val="BodyText"/>
        <w:rPr/>
      </w:pPr>
      <w:r>
        <w:rPr/>
        <w:t>Une procédure devient politiquement fragile lorsqu’elle ne laisse plus apparaître ce qu’elle décide. Un indicateur devient dangereux lorsqu’il remplace le jugement qu’il devait informer. Une interface devient violente lorsqu’elle ferme les possibilités de reformulation du cas qu’elle prétend traiter. Un score devient pouvoir lorsqu’il classe sans ouvrir la scène où sa pertinence pourrait être discutée. La technique n’est pas l’ennemie du politique. Elle le devient lorsque son opération se substitue à l’épreuve.</w:t>
      </w:r>
    </w:p>
    <w:p>
      <w:pPr>
        <w:pStyle w:val="BodyText"/>
        <w:rPr/>
      </w:pPr>
      <w:r>
        <w:rPr/>
        <w:t>Cette violence n’est pas toujours spectaculaire. Elle est lente, administrative, silencieuse. Elle tient à l’impossibilité de faire valoir une situation autrement que dans les cases prévues. Elle tient à la réduction d’une trajectoire à un statut, d’une vulnérabilité à une donnée, d’une objection à une anomalie, d’un droit à une mise à jour. Là où une vie demanderait à être entendue, le dispositif demande à être complété. Là où un conflit devrait être instruit, il devient incident de traitement.</w:t>
      </w:r>
    </w:p>
    <w:p>
      <w:pPr>
        <w:pStyle w:val="BodyText"/>
        <w:rPr/>
      </w:pPr>
      <w:r>
        <w:rPr/>
        <w:t>Dès lors, la question n’est plus la stabilité d’un système, mais la forme de reprise qu’il offre à ce qu’il affecte. Un monde devient invivable lorsque les tensions qui le traversent n’apparaissent plus que comme désordres, retards, résistances, coûts, défaillances individuelles ou problèmes de gestion. Une société continue alors de fonctionner, tout en devenant moins capable de recevoir ce que son fonctionnement abîme.</w:t>
      </w:r>
    </w:p>
    <w:p>
      <w:pPr>
        <w:pStyle w:val="BodyText"/>
        <w:rPr/>
      </w:pPr>
      <w:r>
        <w:rPr/>
        <w:t>Cette exigence dépasse la stabilité des systèmes. Elle demande que les tensions ne soient pas absorbées par des procédures, mais rendues visibles, adressables et discutables, afin que leurs effets transforment l’ordre qui les produit. Elle ne suppose pas que tout conflit trouve une solution. Elle suppose que le conflit ne soit pas privé d’emblée des formes par lesquelles il oblige le commun à se requalifier.</w:t>
      </w:r>
    </w:p>
    <w:p>
      <w:pPr>
        <w:pStyle w:val="BodyText"/>
        <w:rPr/>
      </w:pPr>
      <w:r>
        <w:rPr/>
        <w:t>Cette exigence engage d’abord le temps. Un délai est nécessaire pour comprendre, formuler, contester, répondre, réviser. Or beaucoup de régulations contemporaines réduisent ce délai. Les décisions sont automatisées, les évaluations continues, les corrections anticipées, les comportements préemptés. Les systèmes absorbent les écarts avant qu’ils ne deviennent questions. La vitesse devient une forme de fermeture. Ce qui va trop vite pour être adressé finit par s’imposer comme évidence.</w:t>
      </w:r>
    </w:p>
    <w:p>
      <w:pPr>
        <w:pStyle w:val="BodyText"/>
        <w:rPr/>
      </w:pPr>
      <w:r>
        <w:rPr/>
        <w:t>Elle engage aussi des formes de traduction. Les effets d’une régulation ne sont jamais immédiatement lisibles. Ils doivent être rapportés à des expériences, des preuves, des récits, des données, des objections, des institutions capables de les instruire. Sans cette traduction, les souffrances restent privées, les inégalités restent statistiques, les conflits restent dispersés. Une scène ne se contente pas d’exposer. Elle transforme ce qui arrive en matière partageable et opposable.</w:t>
      </w:r>
    </w:p>
    <w:p>
      <w:pPr>
        <w:pStyle w:val="BodyText"/>
        <w:rPr/>
      </w:pPr>
      <w:r>
        <w:rPr/>
        <w:t>Elle engage enfin une prise sur les échelles. Beaucoup de régulations contemporaines produisent leurs effets loin des lieux où elles se décident. Une norme financière affecte une politique locale. Une chaîne logistique transforme un territoire éloigné. Un standard européen ou international redéfinit des marges nationales. Une plateforme globale ajuste des conduites singulières. Les lieux d’affectation et les lieux d’arbitrage se dissocient. Le conflit existe, mais il peine à trouver l’échelle où il pourrait être travaillé.</w:t>
      </w:r>
    </w:p>
    <w:p>
      <w:pPr>
        <w:pStyle w:val="BodyText"/>
        <w:rPr/>
      </w:pPr>
      <w:r>
        <w:rPr/>
        <w:t>Cette dissociation explique une part de l’impuissance démocratique contemporaine. Les citoyens votent encore, débattent, manifestent, saisissent des institutions, interpellent des représentants. Mais une part des contraintes qui structurent les choix disponibles se situe ailleurs : marchés, traités, agences, plateformes, standards, architectures techniques, indicateurs, engagements antérieurs. L’espace de la décision visible ne contient plus l’ensemble des conditions de la décision réelle.</w:t>
      </w:r>
    </w:p>
    <w:p>
      <w:pPr>
        <w:pStyle w:val="BodyText"/>
        <w:rPr/>
      </w:pPr>
      <w:r>
        <w:rPr/>
        <w:t>Aucune nostalgie ne doit s’en déduire. Aucun âge antérieur n’a offert des scènes pures, transparentes, pleinement démocratiques. Les formes historiques du politique ont toujours été traversées d’exclusions, de violences, de hiérarchies, de captations. Mais elles donnaient aux conflits des lieux plus identifiables : adversaires, procédures, rituels, temporalités, figures d’adresse. Notre difficulté tient à ce que la conflictualité demeure, parfois s’intensifie, tandis que ses prises deviennent plus fragmentées, plus intermittentes, plus difficiles à instituer.</w:t>
      </w:r>
    </w:p>
    <w:p>
      <w:pPr>
        <w:pStyle w:val="BodyText"/>
        <w:rPr/>
      </w:pPr>
      <w:r>
        <w:rPr/>
        <w:t>Deux réflexes se présentent alors. Le premier cherche à restaurer les anciennes figures de l’autorité : souveraineté, État, loi, frontière, verticalité, commandement. Il espère retrouver dans la forme forte du pouvoir le moyen de contenir la dispersion contemporaine. Le second abandonne la question politique à la complexité des systèmes : flux, réseaux, marchés, données, plateformes, calculs. Il conclut que nul centre ne peut plus être retrouvé, et que toute contestation se dissout dans l’entrelacement des opérations. Ces deux réflexes manquent le même point. Ni le retour pur à la verticalité, ni l’acceptation de la dispersion ne permettront de penser la tenue d’un monde commun.</w:t>
      </w:r>
    </w:p>
    <w:p>
      <w:pPr>
        <w:pStyle w:val="BodyText"/>
        <w:rPr/>
      </w:pPr>
      <w:r>
        <w:rPr/>
        <w:t>La focale doit changer. Plutôt que chercher le détenteur ultime du pouvoir ou se résigner à l’absence de centre, il s’agit de suivre les régulations dans leurs articulations : ce qui les rend recevables, ce par quoi elles agissent, ce qui permet de les éprouver. C’est à cette condition que l’on comprend pourquoi certaines décisions deviennent politiquement habitables, tandis que d’autres fonctionnent sans jamais être vraiment tenues.</w:t>
      </w:r>
    </w:p>
    <w:p>
      <w:pPr>
        <w:pStyle w:val="BodyText"/>
        <w:rPr/>
      </w:pPr>
      <w:r>
        <w:rPr/>
        <w:t>Les mots en -archie et en -cratie donnent un premier indice de ce déplacement. Monarchie, oligarchie, technocratie, bureaucratie, démocratie : ces termes continuent de nommer des régimes, des formes, des principes ou des modalités d’exercice. Mais ils disent encore trop peu la manière concrète dont une régulation articule ce qui la fonde, ce qui l’opère et ce qui permet de l’éprouver.</w:t>
      </w:r>
    </w:p>
    <w:p>
      <w:pPr>
        <w:pStyle w:val="BodyText"/>
        <w:rPr/>
      </w:pPr>
      <w:r>
        <w:rPr/>
        <w:t>L’arkhè renvoie au commencement, au commandement, au principe, à ce à partir de quoi un ordre se donne comme recevable. Le kratos renvoie à la force, à la puissance agissante, à la capacité d’effectuation. Mais un monde politique ne tient ni par le fondement seul, ni par l’opération seule. Un principe sans effectuation devient incantation. Une opération sans fondement exposable devient puissance difficilement adressable. L’un comme l’autre perdent leur qualité politique lorsqu’ils échappent à l’épreuve.</w:t>
      </w:r>
    </w:p>
    <w:p>
      <w:pPr>
        <w:pStyle w:val="BodyText"/>
        <w:rPr/>
      </w:pPr>
      <w:r>
        <w:rPr/>
        <w:t>Ce qui manque alors n’est pas un nouveau nom de régime. C’est une grammaire de l’articulation. Il s’agit de distinguer ce qui donne à une régulation son horizon de recevabilité, ce qui la rend opératoire, ce qui l’expose à ses effets et la rend reprenable. Sans cette distinction, des ordres très différents se confondent : une règle juste mais inapplicable, une procédure efficace mais sans fondement exposable, une consultation visible mais sans capacité de transformation, une décision légitime dans son principe mais mutilée dans ses chaînes d’effectuation.</w:t>
      </w:r>
    </w:p>
    <w:p>
      <w:pPr>
        <w:pStyle w:val="BodyText"/>
        <w:rPr/>
      </w:pPr>
      <w:r>
        <w:rPr/>
        <w:t>Trois prises doivent alors être distinguées : ce qui fonde une régulation, ce qui l’opère, ce qui permet d’exposer leur rapport à l’épreuve. Nous nommerons arcalité la première, cratialité la seconde, archicration la forme où fondement et opération deviennent ensemble discutables, contestables, révisables. Ces mots ne valent pas par leur nouveauté. Ils valent par le discernement qu’ils rendent possible : distinguer ce qui, autrement, reste confondu.</w:t>
      </w:r>
    </w:p>
    <w:p>
      <w:pPr>
        <w:pStyle w:val="BodyText"/>
        <w:rPr/>
      </w:pPr>
      <w:r>
        <w:rPr/>
        <w:t>Un malentendu doit être écarté d’emblée. L’archicratie ne désigne pas un régime politique supplémentaire. Elle ne nomme ni une utopie institutionnelle, ni une nouvelle forme idéale de gouvernement, ni une solution générale aux conflits contemporains. Elle désigne une condition de tenue : le seuil à partir duquel une régulation peut encore être rapportée à ce qui la fonde, suivie dans ce qu’elle opère, reprise à partir de ce qu’elle affecte.</w:t>
      </w:r>
    </w:p>
    <w:p>
      <w:pPr>
        <w:pStyle w:val="BodyText"/>
        <w:rPr/>
      </w:pPr>
      <w:r>
        <w:rPr/>
        <w:t>À l’inverse, la désarchicration désignera le processus par lequel cette articulation se défait. Les fondements deviennent incantatoires. Les opérations s’autonomisent. Les scènes d’épreuve se contractent, se simulent ou se déplacent hors de portée. La régulation continue parfois avec efficacité, mais sa tenue politique se fragilise. Elle fonctionne encore, tout en devenant plus difficile à comprendre, à adresser, à contester, à transformer.</w:t>
      </w:r>
    </w:p>
    <w:p>
      <w:pPr>
        <w:pStyle w:val="BodyText"/>
        <w:rPr/>
      </w:pPr>
      <w:r>
        <w:rPr/>
        <w:t>Cette grammaire ne prétend pas absorber tout le politique. Elle ne remplace ni l’analyse de l’État, ni celle du droit, ni celle des classes sociales, ni celle des institutions, ni celle des techniques. Elle vaut là où elle produit un gain de discernement. Là où les catégories classiques suffisent, elle doit se retirer. Là où elle ne fait que renommer ce qui était déjà clair, elle devient inutile. Mais là où la légitimité déclarée, l’opération réelle et l’épreuve disponible se dissocient, elle permet de poser de meilleures questions.</w:t>
      </w:r>
    </w:p>
    <w:p>
      <w:pPr>
        <w:pStyle w:val="BodyText"/>
        <w:rPr/>
      </w:pPr>
      <w:r>
        <w:rPr/>
        <w:t>Ces questions engagent le cœur de l’enquête : qu’est-ce qui fonde ici la régulation ? Par quels instruments agit-elle ? Où ses effets peuvent-ils être exposés, contestés, repris ? La procédure ouvre-t-elle une révision réelle ou une réponse formelle ? La visibilité donne-t-elle prise, ou remplace-t-elle la comparution ?</w:t>
      </w:r>
    </w:p>
    <w:p>
      <w:pPr>
        <w:pStyle w:val="BodyText"/>
        <w:rPr/>
      </w:pPr>
      <w:r>
        <w:rPr/>
        <w:t>Ces questions ne résolvent pas les conflits. Elles les localisent. Elles empêchent de confondre la déclaration d’un principe avec son effectuation, l’efficacité d’un dispositif avec sa légitimité, l’existence d’une procédure avec une scène réelle d’épreuve. Elles déplacent la critique depuis la dénonciation du pouvoir vers l’analyse des conditions dans lesquelles une régulation devient, ou non, reprenable par ceux qu’elle affecte.</w:t>
      </w:r>
    </w:p>
    <w:p>
      <w:pPr>
        <w:pStyle w:val="BodyText"/>
        <w:rPr/>
      </w:pPr>
      <w:r>
        <w:rPr/>
        <w:t>L’enquête part donc d’une inquiétude, mais elle ne s’y enferme pas. Si les scènes se fragilisent, elles peuvent aussi être repérées, défendues, réinstituées. Si les opérations se soustraient à l’épreuve, elles peuvent être ramenées vers des formes plus exigeantes de visibilité et d’opposabilité. Si les mots hérités ne suffisent plus toujours, ils peuvent être repris, déplacés, travaillés. La pensée politique ne commence pas lorsque le monde devient simple. Elle commence lorsque le monde devient difficile à tenir.</w:t>
      </w:r>
    </w:p>
    <w:p>
      <w:pPr>
        <w:pStyle w:val="BodyText"/>
        <w:rPr/>
      </w:pPr>
      <w:r>
        <w:rPr/>
        <w:t>Cette grammaire devra être fondée, éprouvée dans la longue durée, confrontée aux grandes pensées du pouvoir, puis engagée dans la lecture des révolutions industrielles et des tensions contemporaines. Il ne s’agira pas d’appliquer un schéma à des objets déjà donnés, mais de suivre, à chaque fois, la manière dont une société différencie ce qui fonde, ce qui opère et ce qui reste reprenable. L’enquête traversera donc des formes anciennes et modernes, des institutions visibles et des médiations discrètes, des scènes politiques déclarées et des chaînes d’effectuation moins immédiatement lisibles.</w:t>
      </w:r>
    </w:p>
    <w:p>
      <w:pPr>
        <w:pStyle w:val="BodyText"/>
        <w:rPr/>
      </w:pPr>
      <w:r>
        <w:rPr/>
        <w:t>Quelque chose, dans nos mondes contemporains, continue d’ordonner les conduites, de hiérarchiser les vies, de distribuer les ressources, de classer les existences, de prioriser les droits, d’ajuster les temporalités, sans toujours apparaître dans les formes où le politique savait se nommer. Ce quelque chose n’est pas extérieur aux institutions. Il les traverse, les prolonge, les déplace, parfois les contourne. Il ne remplace pas le pouvoir ; il en transforme les modes d’existence.</w:t>
      </w:r>
    </w:p>
    <w:p>
      <w:pPr>
        <w:pStyle w:val="BodyText"/>
        <w:rPr/>
      </w:pPr>
      <w:r>
        <w:rPr/>
        <w:t>Suivre les régulations autrement devient alors la tâche de l’enquête : dans les lois qui les proclament, mais aussi dans les instruments qui les appliquent ; dans les discours qui les justifient, mais aussi dans les formats qui les rendent effectives ; dans les institutions qui les encadrent, mais aussi dans les scènes qui permettent ou empêchent leur reprise. La question n’est pas de savoir si le pouvoir existe encore. Elle est de savoir sous quelles conditions ce qui règle un monde peut encore être rendu intelligible, adressable et révisable.</w:t>
      </w:r>
    </w:p>
    <w:p>
      <w:pPr>
        <w:pStyle w:val="BodyText"/>
        <w:spacing w:before="0" w:after="140"/>
        <w:rPr/>
      </w:pPr>
      <w:r>
        <w:rPr/>
        <w:t>L’enquête commence là : au point exact où les formes du pouvoir demeurent visibles, mais où les prises capables de les éprouver se retirent.</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Mono">
    <w:altName w:val="Courier New"/>
    <w:charset w:val="01" w:characterSet="utf-8"/>
    <w:family w:val="roman"/>
    <w:pitch w:val="variable"/>
  </w:font>
  <w:font w:name="Liberation Sans">
    <w:altName w:val="Arial"/>
    <w:charset w:val="01" w:characterSet="utf-8"/>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val="bestFit" w:percent="184"/>
  <w:embedSystemFonts/>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
    <w:next w:val="BodyText"/>
    <w:qFormat/>
    <w:pPr>
      <w:numPr>
        <w:ilvl w:val="0"/>
        <w:numId w:val="2"/>
      </w:numPr>
      <w:spacing w:before="240" w:after="120"/>
      <w:outlineLvl w:val="0"/>
    </w:pPr>
    <w:rPr>
      <w:rFonts w:ascii="Liberation Serif" w:hAnsi="Liberation Serif" w:eastAsia="Songti SC" w:cs="Arial Unicode MS"/>
      <w:b/>
      <w:bCs/>
      <w:i w:val="false"/>
      <w:sz w:val="44"/>
      <w:szCs w:val="48"/>
    </w:rPr>
  </w:style>
  <w:style w:type="paragraph" w:styleId="Heading2">
    <w:name w:val="heading 2"/>
    <w:basedOn w:val="Titre"/>
    <w:next w:val="BodyText"/>
    <w:qFormat/>
    <w:pPr>
      <w:numPr>
        <w:ilvl w:val="1"/>
        <w:numId w:val="2"/>
      </w:numPr>
      <w:spacing w:before="200" w:after="120"/>
      <w:outlineLvl w:val="1"/>
    </w:pPr>
    <w:rPr>
      <w:rFonts w:ascii="Liberation Serif" w:hAnsi="Liberation Serif" w:eastAsia="Songti SC" w:cs="Arial Unicode MS"/>
      <w:b/>
      <w:bCs/>
      <w:sz w:val="40"/>
      <w:szCs w:val="36"/>
    </w:rPr>
  </w:style>
  <w:style w:type="paragraph" w:styleId="Heading3">
    <w:name w:val="heading 3"/>
    <w:basedOn w:val="Titre"/>
    <w:next w:val="BodyText"/>
    <w:qFormat/>
    <w:pPr>
      <w:numPr>
        <w:ilvl w:val="2"/>
        <w:numId w:val="2"/>
      </w:numPr>
      <w:spacing w:before="140" w:after="120"/>
      <w:outlineLvl w:val="2"/>
    </w:pPr>
    <w:rPr>
      <w:rFonts w:ascii="Liberation Serif" w:hAnsi="Liberation Serif" w:eastAsia="Songti SC" w:cs="Arial Unicode MS"/>
      <w:b/>
      <w:bCs/>
      <w:sz w:val="36"/>
      <w:szCs w:val="28"/>
    </w:rPr>
  </w:style>
  <w:style w:type="paragraph" w:styleId="Heading4">
    <w:name w:val="heading 4"/>
    <w:basedOn w:val="Titre"/>
    <w:next w:val="BodyText"/>
    <w:qFormat/>
    <w:pPr>
      <w:numPr>
        <w:ilvl w:val="3"/>
        <w:numId w:val="2"/>
      </w:numPr>
      <w:spacing w:lineRule="auto" w:line="276" w:before="0" w:after="140"/>
      <w:outlineLvl w:val="3"/>
    </w:pPr>
    <w:rPr>
      <w:rFonts w:ascii="Liberation Serif" w:hAnsi="Liberation Serif" w:eastAsia="Songti SC" w:cs="Arial Unicode MS"/>
      <w:b/>
      <w:bCs/>
      <w:sz w:val="32"/>
      <w:szCs w:val="24"/>
    </w:rPr>
  </w:style>
  <w:style w:type="paragraph" w:styleId="Heading5">
    <w:name w:val="heading 5"/>
    <w:basedOn w:val="Titreuser"/>
    <w:next w:val="BodyText"/>
    <w:qFormat/>
    <w:pPr>
      <w:numPr>
        <w:ilvl w:val="4"/>
        <w:numId w:val="1"/>
      </w:numPr>
      <w:spacing w:before="120" w:after="60"/>
      <w:outlineLvl w:val="4"/>
    </w:pPr>
    <w:rPr>
      <w:b/>
      <w:bCs/>
      <w:sz w:val="24"/>
      <w:szCs w:val="24"/>
    </w:rPr>
  </w:style>
  <w:style w:type="paragraph" w:styleId="Heading6">
    <w:name w:val="heading 6"/>
    <w:basedOn w:val="Titreuser"/>
    <w:next w:val="BodyText"/>
    <w:qFormat/>
    <w:pPr>
      <w:numPr>
        <w:ilvl w:val="5"/>
        <w:numId w:val="1"/>
      </w:numPr>
      <w:spacing w:before="60" w:after="60"/>
      <w:outlineLvl w:val="5"/>
    </w:pPr>
    <w:rPr>
      <w:b/>
      <w:bCs/>
      <w:i/>
      <w:iCs/>
      <w:sz w:val="24"/>
      <w:szCs w:val="24"/>
    </w:rPr>
  </w:style>
  <w:style w:type="character" w:styleId="Strong">
    <w:name w:val="Strong"/>
    <w:qFormat/>
    <w:rPr>
      <w:b/>
      <w:bCs/>
    </w:rPr>
  </w:style>
  <w:style w:type="character" w:styleId="Emphasis">
    <w:name w:val="Emphasis"/>
    <w:qFormat/>
    <w:rPr>
      <w:i/>
      <w:iCs/>
    </w:rPr>
  </w:style>
  <w:style w:type="character" w:styleId="Caractresdenumrotation">
    <w:name w:val="Caractères de numérotation"/>
    <w:qFormat/>
    <w:rPr/>
  </w:style>
  <w:style w:type="character" w:styleId="Puces">
    <w:name w:val="Puces"/>
    <w:qFormat/>
    <w:rPr>
      <w:rFonts w:ascii="OpenSymbol" w:hAnsi="OpenSymbol" w:eastAsia="OpenSymbol" w:cs="OpenSymbol"/>
    </w:rPr>
  </w:style>
  <w:style w:type="character" w:styleId="Caractresdenumrotationuser">
    <w:name w:val="Caractères de numérotation (user)"/>
    <w:qFormat/>
    <w:rPr/>
  </w:style>
  <w:style w:type="character" w:styleId="Pucesuser">
    <w:name w:val="Puces (user)"/>
    <w:qFormat/>
    <w:rPr>
      <w:rFonts w:ascii="OpenSymbol" w:hAnsi="OpenSymbol" w:eastAsia="OpenSymbol" w:cs="OpenSymbol"/>
    </w:rPr>
  </w:style>
  <w:style w:type="character" w:styleId="Textesourceuser">
    <w:name w:val="Texte source (user)"/>
    <w:qFormat/>
    <w:rPr>
      <w:rFonts w:ascii="Liberation Mono" w:hAnsi="Liberation Mono" w:eastAsia="Liberation Mono" w:cs="Liberation Mono"/>
    </w:rPr>
  </w:style>
  <w:style w:type="character" w:styleId="Hyperlink">
    <w:name w:val="Hyperlink"/>
    <w:rPr>
      <w:color w:val="000080"/>
      <w:u w:val="single"/>
    </w:rPr>
  </w:style>
  <w:style w:type="character" w:styleId="Sautdindexuser">
    <w:name w:val="Saut d'index (user)"/>
    <w:qFormat/>
    <w:rPr/>
  </w:style>
  <w:style w:type="character" w:styleId="Sautdindex">
    <w:name w:val="Saut d'index"/>
    <w:qFormat/>
    <w:rPr/>
  </w:style>
  <w:style w:type="character" w:styleId="KeywordTok" w:customStyle="1">
    <w:name w:val="KeywordTok"/>
    <w:qFormat/>
    <w:rPr>
      <w:b/>
      <w:color w:val="007020"/>
    </w:rPr>
  </w:style>
  <w:style w:type="character" w:styleId="DataTypeTok" w:customStyle="1">
    <w:name w:val="DataTypeTok"/>
    <w:qFormat/>
    <w:rPr>
      <w:color w:val="902000"/>
    </w:rPr>
  </w:style>
  <w:style w:type="character" w:styleId="DecValTok" w:customStyle="1">
    <w:name w:val="DecValTok"/>
    <w:qFormat/>
    <w:rPr>
      <w:color w:val="40A070"/>
    </w:rPr>
  </w:style>
  <w:style w:type="character" w:styleId="BaseNTok" w:customStyle="1">
    <w:name w:val="BaseNTok"/>
    <w:qFormat/>
    <w:rPr>
      <w:color w:val="40A070"/>
    </w:rPr>
  </w:style>
  <w:style w:type="character" w:styleId="FloatTok" w:customStyle="1">
    <w:name w:val="FloatTok"/>
    <w:qFormat/>
    <w:rPr>
      <w:color w:val="40A070"/>
    </w:rPr>
  </w:style>
  <w:style w:type="character" w:styleId="ConstantTok" w:customStyle="1">
    <w:name w:val="ConstantTok"/>
    <w:qFormat/>
    <w:rPr>
      <w:color w:val="880000"/>
    </w:rPr>
  </w:style>
  <w:style w:type="character" w:styleId="CharTok" w:customStyle="1">
    <w:name w:val="CharTok"/>
    <w:qFormat/>
    <w:rPr>
      <w:color w:val="4070A0"/>
    </w:rPr>
  </w:style>
  <w:style w:type="character" w:styleId="SpecialCharTok" w:customStyle="1">
    <w:name w:val="SpecialCharTok"/>
    <w:qFormat/>
    <w:rPr>
      <w:color w:val="4070A0"/>
    </w:rPr>
  </w:style>
  <w:style w:type="character" w:styleId="StringTok" w:customStyle="1">
    <w:name w:val="StringTok"/>
    <w:qFormat/>
    <w:rPr>
      <w:color w:val="4070A0"/>
    </w:rPr>
  </w:style>
  <w:style w:type="character" w:styleId="VerbatimStringTok" w:customStyle="1">
    <w:name w:val="VerbatimStringTok"/>
    <w:qFormat/>
    <w:rPr>
      <w:color w:val="4070A0"/>
    </w:rPr>
  </w:style>
  <w:style w:type="character" w:styleId="SpecialStringTok" w:customStyle="1">
    <w:name w:val="SpecialStringTok"/>
    <w:qFormat/>
    <w:rPr>
      <w:color w:val="BB6688"/>
    </w:rPr>
  </w:style>
  <w:style w:type="character" w:styleId="ImportTok" w:customStyle="1">
    <w:name w:val="ImportTok"/>
    <w:qFormat/>
    <w:rPr>
      <w:b/>
      <w:color w:val="008000"/>
    </w:rPr>
  </w:style>
  <w:style w:type="character" w:styleId="CommentTok" w:customStyle="1">
    <w:name w:val="CommentTok"/>
    <w:qFormat/>
    <w:rPr>
      <w:i/>
      <w:color w:val="60A0B0"/>
    </w:rPr>
  </w:style>
  <w:style w:type="character" w:styleId="DocumentationTok" w:customStyle="1">
    <w:name w:val="DocumentationTok"/>
    <w:qFormat/>
    <w:rPr>
      <w:i/>
      <w:color w:val="BA2121"/>
    </w:rPr>
  </w:style>
  <w:style w:type="character" w:styleId="AnnotationTok" w:customStyle="1">
    <w:name w:val="AnnotationTok"/>
    <w:qFormat/>
    <w:rPr>
      <w:b/>
      <w:i/>
      <w:color w:val="60A0B0"/>
    </w:rPr>
  </w:style>
  <w:style w:type="character" w:styleId="CommentVarTok" w:customStyle="1">
    <w:name w:val="CommentVarTok"/>
    <w:qFormat/>
    <w:rPr>
      <w:b/>
      <w:i/>
      <w:color w:val="60A0B0"/>
    </w:rPr>
  </w:style>
  <w:style w:type="character" w:styleId="OtherTok" w:customStyle="1">
    <w:name w:val="OtherTok"/>
    <w:qFormat/>
    <w:rPr>
      <w:color w:val="007020"/>
    </w:rPr>
  </w:style>
  <w:style w:type="character" w:styleId="FunctionTok" w:customStyle="1">
    <w:name w:val="FunctionTok"/>
    <w:qFormat/>
    <w:rPr>
      <w:color w:val="06287E"/>
    </w:rPr>
  </w:style>
  <w:style w:type="character" w:styleId="VariableTok" w:customStyle="1">
    <w:name w:val="VariableTok"/>
    <w:qFormat/>
    <w:rPr>
      <w:color w:val="19177C"/>
    </w:rPr>
  </w:style>
  <w:style w:type="character" w:styleId="ControlFlowTok" w:customStyle="1">
    <w:name w:val="ControlFlowTok"/>
    <w:qFormat/>
    <w:rPr>
      <w:b/>
      <w:color w:val="007020"/>
    </w:rPr>
  </w:style>
  <w:style w:type="character" w:styleId="OperatorTok" w:customStyle="1">
    <w:name w:val="OperatorTok"/>
    <w:qFormat/>
    <w:rPr>
      <w:color w:val="666666"/>
    </w:rPr>
  </w:style>
  <w:style w:type="character" w:styleId="BuiltInTok" w:customStyle="1">
    <w:name w:val="BuiltInTok"/>
    <w:qFormat/>
    <w:rPr>
      <w:color w:val="008000"/>
    </w:rPr>
  </w:style>
  <w:style w:type="character" w:styleId="ExtensionTok" w:customStyle="1">
    <w:name w:val="ExtensionTok"/>
    <w:qFormat/>
    <w:rPr/>
  </w:style>
  <w:style w:type="character" w:styleId="PreprocessorTok" w:customStyle="1">
    <w:name w:val="PreprocessorTok"/>
    <w:qFormat/>
    <w:rPr>
      <w:color w:val="BC7A00"/>
    </w:rPr>
  </w:style>
  <w:style w:type="character" w:styleId="AttributeTok" w:customStyle="1">
    <w:name w:val="AttributeTok"/>
    <w:qFormat/>
    <w:rPr>
      <w:color w:val="7D9029"/>
    </w:rPr>
  </w:style>
  <w:style w:type="character" w:styleId="RegionMarkerTok" w:customStyle="1">
    <w:name w:val="RegionMarkerTok"/>
    <w:qFormat/>
    <w:rPr/>
  </w:style>
  <w:style w:type="character" w:styleId="InformationTok" w:customStyle="1">
    <w:name w:val="InformationTok"/>
    <w:qFormat/>
    <w:rPr>
      <w:b/>
      <w:i/>
      <w:color w:val="60A0B0"/>
    </w:rPr>
  </w:style>
  <w:style w:type="character" w:styleId="WarningTok" w:customStyle="1">
    <w:name w:val="WarningTok"/>
    <w:qFormat/>
    <w:rPr>
      <w:b/>
      <w:i/>
      <w:color w:val="60A0B0"/>
    </w:rPr>
  </w:style>
  <w:style w:type="character" w:styleId="AlertTok" w:customStyle="1">
    <w:name w:val="AlertTok"/>
    <w:qFormat/>
    <w:rPr>
      <w:b/>
      <w:color w:val="FF0000"/>
    </w:rPr>
  </w:style>
  <w:style w:type="character" w:styleId="ErrorTok" w:customStyle="1">
    <w:name w:val="ErrorTok"/>
    <w:qFormat/>
    <w:rPr>
      <w:b/>
      <w:color w:val="FF0000"/>
    </w:rPr>
  </w:style>
  <w:style w:type="character" w:styleId="NormalTok" w:customStyle="1">
    <w:name w:val="NormalTok"/>
    <w:qFormat/>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Lignehorizontale">
    <w:name w:val="Ligne horizontale"/>
    <w:basedOn w:val="Normal"/>
    <w:next w:val="BodyText"/>
    <w:qFormat/>
    <w:pPr>
      <w:suppressLineNumbers/>
      <w:pBdr>
        <w:bottom w:val="double" w:sz="2" w:space="0" w:color="808080"/>
      </w:pBdr>
      <w:spacing w:before="0" w:after="283"/>
    </w:pPr>
    <w:rPr>
      <w:sz w:val="12"/>
      <w:szCs w:val="12"/>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Blocdecitation">
    <w:name w:val="Bloc de citation"/>
    <w:basedOn w:val="Normal"/>
    <w:qFormat/>
    <w:pPr>
      <w:spacing w:before="0" w:after="283"/>
      <w:ind w:hanging="0" w:start="567" w:end="567"/>
    </w:pPr>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 w:type="paragraph" w:styleId="Blocdecitationuser">
    <w:name w:val="Bloc de citation (user)"/>
    <w:basedOn w:val="Normal"/>
    <w:qFormat/>
    <w:pPr>
      <w:spacing w:before="0" w:after="283"/>
      <w:ind w:hanging="0" w:start="567" w:end="567"/>
    </w:pPr>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Texteprformatuser">
    <w:name w:val="Texte préformaté (user)"/>
    <w:basedOn w:val="Normal"/>
    <w:qFormat/>
    <w:pPr>
      <w:spacing w:before="0" w:after="0"/>
    </w:pPr>
    <w:rPr>
      <w:rFonts w:ascii="Liberation Mono" w:hAnsi="Liberation Mono" w:eastAsia="Liberation Mono" w:cs="Liberation Mono"/>
      <w:sz w:val="20"/>
      <w:szCs w:val="20"/>
    </w:rPr>
  </w:style>
  <w:style w:type="paragraph" w:styleId="IndexHeading">
    <w:name w:val="index heading"/>
    <w:basedOn w:val="Titreuser"/>
    <w:pPr>
      <w:suppressLineNumbers/>
      <w:ind w:hanging="0" w:start="0"/>
    </w:pPr>
    <w:rPr>
      <w:b/>
      <w:bCs/>
      <w:sz w:val="32"/>
      <w:szCs w:val="32"/>
    </w:rPr>
  </w:style>
  <w:style w:type="paragraph" w:styleId="TOCHeading">
    <w:name w:val="TOC Heading"/>
    <w:basedOn w:val="IndexHeading"/>
    <w:qFormat/>
    <w:pPr>
      <w:suppressLineNumbers/>
      <w:ind w:hanging="0" w:start="0"/>
    </w:pPr>
    <w:rPr>
      <w:b/>
      <w:bCs/>
      <w:sz w:val="32"/>
      <w:szCs w:val="32"/>
    </w:rPr>
  </w:style>
  <w:style w:type="paragraph" w:styleId="TOC1">
    <w:name w:val="toc 1"/>
    <w:basedOn w:val="Index"/>
    <w:pPr>
      <w:tabs>
        <w:tab w:val="clear" w:pos="709"/>
        <w:tab w:val="right" w:pos="9638" w:leader="dot"/>
      </w:tabs>
      <w:ind w:hanging="0" w:start="0"/>
    </w:pPr>
    <w:rPr/>
  </w:style>
  <w:style w:type="paragraph" w:styleId="TOC2">
    <w:name w:val="toc 2"/>
    <w:basedOn w:val="Index"/>
    <w:pPr>
      <w:tabs>
        <w:tab w:val="clear" w:pos="709"/>
        <w:tab w:val="right" w:pos="9355" w:leader="dot"/>
      </w:tabs>
      <w:ind w:hanging="0" w:start="283"/>
    </w:pPr>
    <w:rPr/>
  </w:style>
  <w:style w:type="paragraph" w:styleId="TOC3">
    <w:name w:val="toc 3"/>
    <w:basedOn w:val="Index"/>
    <w:pPr>
      <w:tabs>
        <w:tab w:val="clear" w:pos="709"/>
        <w:tab w:val="right" w:pos="9071" w:leader="dot"/>
      </w:tabs>
      <w:ind w:hanging="0" w:start="567"/>
    </w:pPr>
    <w:rPr/>
  </w:style>
  <w:style w:type="paragraph" w:styleId="TOC4">
    <w:name w:val="toc 4"/>
    <w:basedOn w:val="Index"/>
    <w:pPr>
      <w:tabs>
        <w:tab w:val="clear" w:pos="709"/>
        <w:tab w:val="right" w:pos="8788" w:leader="dot"/>
      </w:tabs>
      <w:ind w:hanging="0" w:start="850"/>
    </w:pPr>
    <w:rPr/>
  </w:style>
  <w:style w:type="paragraph" w:styleId="SourceCode" w:customStyle="1">
    <w:name w:val="Source Code"/>
    <w:basedOn w:val="Normal"/>
    <w:qFormat/>
    <w:pPr/>
    <w:rPr/>
  </w:style>
  <w:style w:type="paragraph" w:styleId="Title">
    <w:name w:val="Title"/>
    <w:basedOn w:val="Titre"/>
    <w:next w:val="BodyText"/>
    <w:qFormat/>
    <w:pPr>
      <w:jc w:val="center"/>
    </w:pPr>
    <w:rPr>
      <w:b/>
      <w:bCs/>
      <w:sz w:val="56"/>
      <w:szCs w:val="5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31237</TotalTime>
  <Application>LibreOffice/26.2.1.2$MacOSX_AARCH64 LibreOffice_project/8399f6259d8c87f40e7255cdb3c9b958f5e08948</Application>
  <AppVersion>15.0000</AppVersion>
  <Pages>9</Pages>
  <Words>4759</Words>
  <Characters>27521</Characters>
  <CharactersWithSpaces>32211</CharactersWithSpaces>
  <Paragraphs>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2026-04-23T08:33:02Z</dcterms:created>
  <dc:creator/>
  <dc:description/>
  <dc:language>fr-FR</dc:language>
  <cp:lastModifiedBy/>
  <dcterms:modified xsi:type="dcterms:W3CDTF">2026-05-14T12:49:09Z</dcterms:modified>
  <cp:revision>35</cp:revision>
  <dc:subject/>
  <dc:title/>
</cp:coreProperties>
</file>

<file path=docProps/custom.xml><?xml version="1.0" encoding="utf-8"?>
<Properties xmlns="http://schemas.openxmlformats.org/officeDocument/2006/custom-properties" xmlns:vt="http://schemas.openxmlformats.org/officeDocument/2006/docPropsVTypes"/>
</file>