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theme/theme1.xml" ContentType="application/vnd.openxmlformats-officedocument.theme+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numPr>
          <w:ilvl w:val="0"/>
          <w:numId w:val="2"/>
        </w:numPr>
        <w:spacing w:before="240" w:after="120"/>
        <w:rPr/>
      </w:pPr>
      <w:r>
        <w:rPr/>
        <w:t>Chapitre 2 — Archéogenèse des régimes de co-viabilité</w:t>
      </w:r>
    </w:p>
    <w:p>
      <w:pPr>
        <w:pStyle w:val="BodyText"/>
        <w:rPr>
          <w:b w:val="false"/>
          <w:bCs w:val="false"/>
        </w:rPr>
      </w:pPr>
      <w:r>
        <w:rPr>
          <w:b w:val="false"/>
          <w:bCs w:val="false"/>
        </w:rPr>
        <w:t>Le chapitre précédent a établi la grammaire du paradigme archicratique. Il a défini l’archicratie comme une condition de tenue des régulations : la possibilité, pour ce qui fonde, ce qui opère et ce qui met à l’épreuve, de demeurer suffisamment distinguables, articulés et exposables pour qu’une régulation puisse être comprise, contestée et reprise.</w:t>
      </w:r>
    </w:p>
    <w:p>
      <w:pPr>
        <w:pStyle w:val="BodyText"/>
        <w:rPr>
          <w:b w:val="false"/>
          <w:bCs w:val="false"/>
        </w:rPr>
      </w:pPr>
      <w:r>
        <w:rPr>
          <w:b w:val="false"/>
          <w:bCs w:val="false"/>
        </w:rPr>
        <w:t>Le présent chapitre déplace le centre de gravité de l’analyse. Il ne s’agit plus de fonder conceptuellement le paradigme, mais d’en éprouver la profondeur historique et anthropologique. Si l’archicratie ne devait éclairer que les régulations contemporaines, administratives, techniques ou numériques, elle resterait une critique située de la modernité régulatrice. Or l’hypothèse est plus profonde : bien avant l’État, le code, la loi ou la souveraineté constituée, les sociétés humaines ont dû produire des formes de co-viabilité.</w:t>
      </w:r>
    </w:p>
    <w:p>
      <w:pPr>
        <w:pStyle w:val="BodyText"/>
        <w:rPr>
          <w:b w:val="false"/>
          <w:bCs w:val="false"/>
        </w:rPr>
      </w:pPr>
      <w:r>
        <w:rPr>
          <w:b w:val="false"/>
          <w:bCs w:val="false"/>
        </w:rPr>
        <w:t>Avant de gouverner, les sociétés humaines ont dû se réguler. Elles ont dû traiter la mort, différer la violence, organiser les échanges, codifier les seuils, distribuer les places, stabiliser des mémoires, rendre certaines obligations transmissibles et certaines tensions supportables. Elles ont dû transformer des contraintes, des affects, des dangers et des ressources en formes partageables. C’est pourquoi les sociétés humaines apparaissent d’abord, pour l’analyse, comme des collectifs régulateurs.</w:t>
      </w:r>
    </w:p>
    <w:p>
      <w:pPr>
        <w:pStyle w:val="BodyText"/>
        <w:rPr>
          <w:b w:val="false"/>
          <w:bCs w:val="false"/>
        </w:rPr>
      </w:pPr>
      <w:r>
        <w:rPr>
          <w:b w:val="false"/>
          <w:bCs w:val="false"/>
        </w:rPr>
        <w:t>Cette proposition ne signifie pas que toutes les sociétés anciennes auraient été archicratiques au sens plein du terme. Elle signifie que certaines formes historiques de co-viabilité peuvent devenir lisibles à partir des trois questions établies au chapitre précédent : qu’est-ce qui fonde ? par quoi cela opère-t-il ? où, comment et selon quel temps cela peut-il être rejoué, transmis, contesté ou repris ?</w:t>
      </w:r>
    </w:p>
    <w:p>
      <w:pPr>
        <w:pStyle w:val="BodyText"/>
        <w:rPr>
          <w:b w:val="false"/>
          <w:bCs w:val="false"/>
        </w:rPr>
      </w:pPr>
      <w:r>
        <w:rPr>
          <w:b w:val="false"/>
          <w:bCs w:val="false"/>
        </w:rPr>
        <w:t>Il s’agit donc d’entreprendre une archéogenèse comparée des régimes de co-viabilité. Cette archéogenèse ne reconstruit pas une histoire linéaire du pouvoir. Elle ne classe pas les sociétés selon des stades de développement. Elle ne projette pas rétrospectivement une catégorie contemporaine sur tout le passé humain. Elle cherche à repérer, dans des contextes historiques et culturels hétérogènes, les formes par lesquelles des collectifs ont institué des prises de fondation, d’opération et d’épreuve.</w:t>
      </w:r>
    </w:p>
    <w:p>
      <w:pPr>
        <w:pStyle w:val="BodyText"/>
        <w:rPr>
          <w:b w:val="false"/>
          <w:bCs w:val="false"/>
        </w:rPr>
      </w:pPr>
      <w:r>
        <w:rPr>
          <w:b w:val="false"/>
          <w:bCs w:val="false"/>
        </w:rPr>
        <w:t>La typologie qui suivra ne doit donc pas être lue comme une chronologie de progrès. Elle constitue une cartographie morphologique. Elle distingue des configurations régulatrices proto-symboliques, sacrales, techno-logistiques, scripturales, théologiques, historiographiques, épistémiques, esthétiques, politiques, marchandes, guerrières ou hybrides. Ces configurations peuvent se succéder, coexister, se superposer, se recomposer ou se réactiver. Elles ne sont pas des âges de l’humanité ; elles sont des formes de tenue.</w:t>
      </w:r>
    </w:p>
    <w:p>
      <w:pPr>
        <w:pStyle w:val="BodyText"/>
        <w:rPr>
          <w:b w:val="false"/>
          <w:bCs w:val="false"/>
        </w:rPr>
      </w:pPr>
      <w:r>
        <w:rPr>
          <w:b w:val="false"/>
          <w:bCs w:val="false"/>
        </w:rPr>
        <w:t>L’enjeu du chapitre est ainsi double : montrer que la régulation précède l’État, la souveraineté et la loi formelle ; éprouver le paradigme archicratique en dehors du terrain contemporain qui l’a rendu nécessaire. Cette double exigence impose une méthode prudente : ne pas tout absorber dans la triade, mais vérifier où elle produit réellement un gain de lisibilité.</w:t>
      </w:r>
    </w:p>
    <w:p>
      <w:pPr>
        <w:pStyle w:val="BodyText"/>
        <w:rPr>
          <w:b w:val="false"/>
          <w:bCs w:val="false"/>
        </w:rPr>
      </w:pPr>
      <w:r>
        <w:rPr>
          <w:b w:val="false"/>
          <w:bCs w:val="false"/>
        </w:rPr>
      </w:r>
    </w:p>
    <w:p>
      <w:pPr>
        <w:pStyle w:val="Heading2"/>
        <w:numPr>
          <w:ilvl w:val="1"/>
          <w:numId w:val="2"/>
        </w:numPr>
        <w:rPr/>
      </w:pPr>
      <w:r>
        <w:rPr>
          <w:b/>
          <w:bCs/>
        </w:rPr>
        <w:t>2.1 — Enjeux scientifiques et méthodologiques</w:t>
      </w:r>
    </w:p>
    <w:p>
      <w:pPr>
        <w:pStyle w:val="BodyText"/>
        <w:rPr/>
      </w:pPr>
      <w:r>
        <w:rPr/>
        <w:t>Toute archéogenèse des régimes de co-viabilité se heurte à deux risques. Le premier serait l’évolutionnisme : raconter les formes humaines de régulation comme une progression continue du mythe vers la raison, du rite vers la loi, du sacré vers l’État. Le second serait la dispersion descriptive : accumuler des cas sans produire de forme intelligible. Le présent chapitre doit éviter ces deux écueils.</w:t>
      </w:r>
    </w:p>
    <w:p>
      <w:pPr>
        <w:pStyle w:val="BodyText"/>
        <w:rPr/>
      </w:pPr>
      <w:r>
        <w:rPr/>
        <w:t>Il ne proposera donc ni une histoire universelle du pouvoir, ni un inventaire anthropologique des pratiques de régulation. Il cherchera à identifier des configurations morphologiques suffisamment distinctes pour éclairer la manière dont les collectifs humains ont rendu leur coexistence viable.</w:t>
      </w:r>
    </w:p>
    <w:p>
      <w:pPr>
        <w:pStyle w:val="BodyText"/>
        <w:rPr/>
      </w:pPr>
      <w:r>
        <w:rPr/>
        <w:t>Cette méthode suppose d’abord de distinguer la contrainte naturelle de la régulation instituée. Toute société humaine s’inscrit dans un milieu : reliefs, saisons, climats, ressources, cycles de reproduction, pénuries, maladies, dangers, distances, propriétés de la matière. Ces conditions pèsent sur les formes de vie. Mais elles ne constituent pas encore des régulations.</w:t>
      </w:r>
    </w:p>
    <w:p>
      <w:pPr>
        <w:pStyle w:val="BodyText"/>
        <w:rPr/>
      </w:pPr>
      <w:r>
        <w:rPr/>
        <w:t>Le gel empêche. Le fleuve canalise. La pluie affecte. Le relief oriente. La saison impose un rythme. Aucune de ces contraintes ne fonde par elle-même un ordre politique ou symbolique. Une contrainte naturelle devient régulatrice lorsqu’elle est convertie en forme, en règle, en code, en rite, en obligation, en interdiction, en hiérarchie d’usage ou en scène collective.</w:t>
      </w:r>
    </w:p>
    <w:p>
      <w:pPr>
        <w:pStyle w:val="BodyText"/>
        <w:rPr/>
      </w:pPr>
      <w:r>
        <w:rPr/>
        <w:t>La rareté de l’eau devient régulation lorsqu’elle donne lieu à des protocoles d’accès, à des interdits, à des rituels, à des tours de prélèvement ou à des hiérarchies d’usage. Le relief devient ordre lorsqu’il est intégré à une topographie sacrée, à des parcours obligés, à des seuils interdits ou à des lieux de rassemblement. La saison devient norme lorsqu’elle cadence des fêtes, des prohibitions, des travaux, des échanges ou des obligations.</w:t>
      </w:r>
    </w:p>
    <w:p>
      <w:pPr>
        <w:pStyle w:val="BodyText"/>
        <w:rPr/>
      </w:pPr>
      <w:r>
        <w:rPr/>
        <w:t>C’est ce travail de conversion qui intéresse l’analyse archicratique. Elle ne cherche pas à expliquer les sociétés par leur environnement. Elle cherche à comprendre comment des collectifs transforment des contraintes en formes de co-viabilité. Il ne s’agit donc pas d’un naturalisme. Il s’agit d’une morphologie des médiations.</w:t>
      </w:r>
    </w:p>
    <w:p>
      <w:pPr>
        <w:pStyle w:val="BodyText"/>
        <w:rPr/>
      </w:pPr>
      <w:r>
        <w:rPr/>
        <w:t>Cette méthode implique aussi un refus de l’étato-centrisme. La régulation ne commence pas avec l’État. Elle ne commence pas avec le droit écrit, la souveraineté ou l’administration. Des sépultures, des interdits, des échanges différés, des rites, des objets retirés, des récits, des calendriers, des archives ou des scènes de parole peuvent déjà organiser des formes robustes de co-viabilité. Ces formes ne doivent pas être traitées comme pré-politiques au motif qu’elles ne ressemblent pas à l’État.</w:t>
      </w:r>
    </w:p>
    <w:p>
      <w:pPr>
        <w:pStyle w:val="BodyText"/>
        <w:rPr/>
      </w:pPr>
      <w:r>
        <w:rPr/>
        <w:t>Elle implique enfin un refus de l’économicisme. Les échanges, les dons, les dettes, les stocks, les flux, les prix ou les ressources ne relèvent pas uniquement de l’allocation. Ils peuvent aussi structurer des obligations, des mémoires, des hiérarchies, des attentes, des dépendances, des scènes de retour. Une économie d’échange peut être une économie de différé, donc une forme de régulation du lien.</w:t>
      </w:r>
    </w:p>
    <w:p>
      <w:pPr>
        <w:pStyle w:val="BodyText"/>
        <w:rPr/>
      </w:pPr>
      <w:r>
        <w:rPr/>
        <w:t>L’archéogenèse proposée ici sera donc comparative, mais non absorbante. Les matériaux préhistoriques, archéologiques et anthropologiques ne parlent jamais dans la langue où nous les interrogeons. Ils livrent des corps disposés, des objets déplacés, des parois travaillées, des pigments, des foyers, des traces d’échange, des architectures, des séquences rituelles ou des récits recueillis dans des contextes toujours situés. Ils ne livrent ni doctrine complète, ni théorie indigène de la régulation, ni équivalent explicite des distinctions que cette enquête mobilise. Toute lecture qui prétendrait y retrouver immédiatement l’arcalité, la cratialité et l’archicration comme catégories conscientes reconduirait la projection même qu’il s’agit d’éviter.</w:t>
      </w:r>
    </w:p>
    <w:p>
      <w:pPr>
        <w:pStyle w:val="BodyText"/>
        <w:rPr/>
      </w:pPr>
      <w:r>
        <w:rPr/>
        <w:t>Les formes anciennes étudiées ici ne seront donc jamais traitées comme des preuves directes d’une archicration pleinement constituée. Une cérémonie funéraire paléolithique, un dispositif totémique, une architecture logistique, une archive administrative ou un marché ne relèvent pas du même monde. Ils peuvent toutefois être interrogés selon trois axes, lorsque le matériau l’autorise : ce qui rend l’ordre recevable, ce qui le rend opératoire, ce qui permet de le rejouer, de le transmettre, de l’éprouver ou d’en reprendre les effets. L’enjeu n’est pas de réduire ces formes à une structure unique, mais de vérifier si la triade archicratique permet d’en comprendre plus finement l’agencement.</w:t>
      </w:r>
    </w:p>
    <w:p>
      <w:pPr>
        <w:pStyle w:val="BodyText"/>
        <w:rPr/>
      </w:pPr>
      <w:r>
        <w:rPr/>
        <w:t>Cette règle vaut d’abord pour les traces les plus anciennes. Une sépulture, une grotte ornée, un alignement de pierres, un objet retiré, un interdit, un don différé ou un rite de passage ne suffisent pas à reconstituer une institution politique au sens strict. Ils ne donnent pas accès à une intention totale. Ils ne permettent pas d’identifier sans reste un système de normes, un appareil de décision ou une scène de contestation. Ils valent autrement : comme indices de médiations par lesquelles des collectifs ont pu transformer la perte, la violence possible, l’incertitude, la rareté, l’alliance, la dette ou la séparation en formes partageables.</w:t>
      </w:r>
    </w:p>
    <w:p>
      <w:pPr>
        <w:pStyle w:val="BodyText"/>
        <w:rPr/>
      </w:pPr>
      <w:r>
        <w:rPr/>
        <w:t>La méthode comparative doit donc distinguer les cas où l’analyse produit un gain réel de lisibilité, les cas où elle demeure hypothétique, et ceux où elle doit se retirer. Elle exclut la projection rétrospective, lorsqu’elle attribue à des sociétés anciennes des catégories qu’elles ne formulent pas ; la reconstruction spéculative, lorsqu’elle invente des scènes ou des opposabilités que les traces disponibles ne permettent pas de soutenir ; l’inflation typologique, lorsqu’elle transforme toute coordination, tout rite ou toute coutume en régime archicratique autonome. Une grammaire comparative robuste ne vaut pas par sa capacité d’absorption, mais par sa retenue discriminante.</w:t>
      </w:r>
    </w:p>
    <w:p>
      <w:pPr>
        <w:pStyle w:val="BodyText"/>
        <w:rPr/>
      </w:pPr>
      <w:r>
        <w:rPr/>
        <w:t>De cette retenue découle le test d’irréductibilité qui commandera toute la typologie. Chaque méta-régime ne sera maintenu comme configuration autonome que s’il possède trois traits suffisamment distincts :</w:t>
      </w:r>
    </w:p>
    <w:p>
      <w:pPr>
        <w:pStyle w:val="BodyText"/>
        <w:numPr>
          <w:ilvl w:val="0"/>
          <w:numId w:val="3"/>
        </w:numPr>
        <w:spacing w:before="0" w:after="0"/>
        <w:rPr/>
      </w:pPr>
      <w:r>
        <w:rPr/>
        <w:t xml:space="preserve">un </w:t>
      </w:r>
      <w:r>
        <w:rPr>
          <w:i/>
          <w:iCs/>
        </w:rPr>
        <w:t>opérateur de validité</w:t>
      </w:r>
      <w:r>
        <w:rPr/>
        <w:t xml:space="preserve">, c’est-à-dire ce qui rend l’ordre recevable ; </w:t>
      </w:r>
    </w:p>
    <w:p>
      <w:pPr>
        <w:pStyle w:val="BodyText"/>
        <w:numPr>
          <w:ilvl w:val="0"/>
          <w:numId w:val="3"/>
        </w:numPr>
        <w:spacing w:before="0" w:after="0"/>
        <w:rPr/>
      </w:pPr>
      <w:r>
        <w:rPr/>
        <w:t xml:space="preserve">un </w:t>
      </w:r>
      <w:r>
        <w:rPr>
          <w:i/>
          <w:iCs/>
        </w:rPr>
        <w:t>locus de scène</w:t>
      </w:r>
      <w:r>
        <w:rPr/>
        <w:t xml:space="preserve">, autrement dit le lieu, le rite, le support ou le dispositif où l’ordre se rejoue, se transmet ou s’éprouve ; </w:t>
      </w:r>
    </w:p>
    <w:p>
      <w:pPr>
        <w:pStyle w:val="BodyText"/>
        <w:numPr>
          <w:ilvl w:val="0"/>
          <w:numId w:val="3"/>
        </w:numPr>
        <w:rPr/>
      </w:pPr>
      <w:r>
        <w:rPr/>
        <w:t xml:space="preserve">une </w:t>
      </w:r>
      <w:r>
        <w:rPr>
          <w:i/>
          <w:iCs/>
        </w:rPr>
        <w:t>temporalité régulatrice</w:t>
      </w:r>
      <w:r>
        <w:rPr/>
        <w:t xml:space="preserve">, soit le temps propre par lequel la co-viabilité se maintient. </w:t>
      </w:r>
    </w:p>
    <w:p>
      <w:pPr>
        <w:pStyle w:val="BodyText"/>
        <w:rPr/>
      </w:pPr>
      <w:r>
        <w:rPr/>
        <w:t>À défaut, la configuration ne disparaît pas nécessairement. Elle peut devenir une variante, un sous-type, un pli interne ou un cas hybride. Cette règle vise à protéger la typologie contre l’inflation. Elle garantit que les régimes étudiés seront distingués par une différence réelle de forme régulatrice, et non par commodité descriptive.</w:t>
      </w:r>
    </w:p>
    <w:p>
      <w:pPr>
        <w:pStyle w:val="BodyText"/>
        <w:rPr/>
      </w:pPr>
      <w:r>
        <w:rPr/>
        <w:t>Le chapitre 2 peut alors être lu comme une enquête sur les conditions historiques de la co-viabilité. Il ne cherchera pas à prouver que tout est archicratique. Il montrera où, quand et comment certaines formes humaines deviennent lisibles comme agencements de fondation, d’opération et d’épreuve. C’est à cette condition que l’archéogenèse peut devenir une épreuve du paradigme, et non son extension abusive.</w:t>
      </w:r>
    </w:p>
    <w:p>
      <w:pPr>
        <w:pStyle w:val="Heading2"/>
        <w:numPr>
          <w:ilvl w:val="1"/>
          <w:numId w:val="2"/>
        </w:numPr>
        <w:rPr/>
      </w:pPr>
      <w:r>
        <w:rPr>
          <w:b/>
          <w:bCs/>
        </w:rPr>
        <w:t xml:space="preserve">2.2 — </w:t>
      </w:r>
      <w:r>
        <w:rPr/>
        <w:t>Archétypologie des méta-régimes archicratiques</w:t>
      </w:r>
    </w:p>
    <w:p>
      <w:pPr>
        <w:pStyle w:val="BodyText"/>
        <w:rPr>
          <w:b w:val="false"/>
          <w:bCs w:val="false"/>
        </w:rPr>
      </w:pPr>
      <w:r>
        <w:rPr>
          <w:b w:val="false"/>
          <w:bCs w:val="false"/>
        </w:rPr>
        <w:t>Une fois cette retenue posée, l’archétypologie des méta-régimes archicratiques peut être formulée. Le terme doit être entendu avec rigueur. Il ne désigne ni un régime politique constitué, ni une période historique, ni une société déterminée. Un régime appartient à une configuration située : monarchique, impériale, parlementaire, administrative, juridique, économique ou militaire. Un méta-régime archicratique se situe sur un autre plan. Il désigne une matrice morphologique de co-viabilité, c’est-à-dire une manière dominante d’articuler ce qui fonde, ce qui opère et ce qui permet l’épreuve.</w:t>
      </w:r>
    </w:p>
    <w:p>
      <w:pPr>
        <w:pStyle w:val="BodyText"/>
        <w:rPr>
          <w:b w:val="false"/>
          <w:bCs w:val="false"/>
        </w:rPr>
      </w:pPr>
      <w:r>
        <w:rPr>
          <w:b w:val="false"/>
          <w:bCs w:val="false"/>
        </w:rPr>
        <w:t>Les méta-régimes qui suivent ne sont donc pas des stades successifs. Ils ne composent pas une histoire linéaire allant du mythe vers la loi, du rite vers l’État, du sacré vers la raison ou de la violence vers la délibération. Ils désignent des formes transversales, parfois anciennes, parfois réactivées, souvent mêlées, par lesquelles des collectifs humains ont rendu la co-présence habitable. Un même monde social peut en combiner plusieurs. Un méta-régime peut dominer sans exclure les autres. Une forme apparemment archaïque peut survivre dans des institutions modernes ; une forme moderne peut réactiver des logiques plus anciennes.</w:t>
      </w:r>
    </w:p>
    <w:p>
      <w:pPr>
        <w:pStyle w:val="BodyText"/>
        <w:rPr>
          <w:b w:val="false"/>
          <w:bCs w:val="false"/>
        </w:rPr>
      </w:pPr>
      <w:r>
        <w:rPr>
          <w:b w:val="false"/>
          <w:bCs w:val="false"/>
        </w:rPr>
        <w:t>Cette typologie n’a donc pas vocation à saturer l’histoire des régulations. Elle ne prétend pas tout classer. Elle cherche à dégager des archétypes suffisamment différenciés pour guider l’enquête. Chacun d’eux devra justifier son autonomie par un test d’irréductibilité : un opérateur de validité propre, un locus de scène propre, une temporalité régulatrice propre. À défaut, il ne sera pas maintenu comme méta-régime autonome, mais traité comme variante, composition ou pli interne d’une autre configuration.</w:t>
      </w:r>
    </w:p>
    <w:p>
      <w:pPr>
        <w:pStyle w:val="BodyText"/>
        <w:rPr>
          <w:b w:val="false"/>
          <w:bCs w:val="false"/>
        </w:rPr>
      </w:pPr>
      <w:r>
        <w:rPr>
          <w:b w:val="false"/>
          <w:bCs w:val="false"/>
        </w:rPr>
        <w:t>Douze méta-régimes archicratiques peuvent être distingués à ce niveau de l’analyse.</w:t>
      </w:r>
    </w:p>
    <w:p>
      <w:pPr>
        <w:pStyle w:val="BodyText"/>
        <w:rPr/>
      </w:pPr>
      <w:r>
        <w:rPr>
          <w:b w:val="false"/>
          <w:bCs w:val="false"/>
        </w:rPr>
        <w:t xml:space="preserve">Le premier est le </w:t>
      </w:r>
      <w:r>
        <w:rPr>
          <w:rStyle w:val="Strong"/>
          <w:b w:val="false"/>
          <w:bCs w:val="false"/>
        </w:rPr>
        <w:t>méta-régime archicratique proto-symbolique</w:t>
      </w:r>
      <w:r>
        <w:rPr>
          <w:b w:val="false"/>
          <w:bCs w:val="false"/>
        </w:rPr>
        <w:t>. Il renvoie aux formes de co-viabilité où l’ordre se tient sans écriture, sans appareil centralisé, sans institution formelle du politique, mais par la mémoire incorporée, le geste, le seuil, l’interdit, la sépulture, l’échange différé, le rite et la spatialisation symbolique. Son importance est fondatrice : il montre que la régulation ne commence pas avec la loi. Elle commence lorsque l’immédiateté biologique, affective ou violente est suspendue, mise en forme, transmise et rendue partageable.</w:t>
      </w:r>
    </w:p>
    <w:p>
      <w:pPr>
        <w:pStyle w:val="BodyText"/>
        <w:rPr/>
      </w:pPr>
      <w:r>
        <w:rPr>
          <w:b w:val="false"/>
          <w:bCs w:val="false"/>
        </w:rPr>
        <w:t xml:space="preserve">Le deuxième est le </w:t>
      </w:r>
      <w:r>
        <w:rPr>
          <w:rStyle w:val="Strong"/>
          <w:b w:val="false"/>
          <w:bCs w:val="false"/>
        </w:rPr>
        <w:t>méta-régime archicratique sacral non étatique</w:t>
      </w:r>
      <w:r>
        <w:rPr>
          <w:b w:val="false"/>
          <w:bCs w:val="false"/>
        </w:rPr>
        <w:t>. Il ne se confond pas avec le religieux institué ni avec la théocratie. Sa singularité tient à une régulation par le retrait, la médiation et la distance. L’invisible structure le visible sans se cristalliser nécessairement dans un commandement souverain. Totems, masques, objets soustraits, figures médiatrices, lieux interdits et rites cycliques y empêchent souvent la capture personnelle du pouvoir. Ce méta-régime est décisif parce qu’il oblige à penser une autorité opérante sans État, une cohérence collective sans centre coercitif, une scène sans souveraineté constituée.</w:t>
      </w:r>
    </w:p>
    <w:p>
      <w:pPr>
        <w:pStyle w:val="BodyText"/>
        <w:rPr/>
      </w:pPr>
      <w:r>
        <w:rPr>
          <w:b w:val="false"/>
          <w:bCs w:val="false"/>
        </w:rPr>
        <w:t xml:space="preserve">Le troisième est le </w:t>
      </w:r>
      <w:r>
        <w:rPr>
          <w:rStyle w:val="Strong"/>
          <w:b w:val="false"/>
          <w:bCs w:val="false"/>
        </w:rPr>
        <w:t>méta-régime archicratique techno-logistique</w:t>
      </w:r>
      <w:r>
        <w:rPr>
          <w:b w:val="false"/>
          <w:bCs w:val="false"/>
        </w:rPr>
        <w:t>. Avec lui, la co-viabilité se déplace vers l’organisation des flux, des stocks, des tâches, des mesures, des infrastructures et des séquences. La mégamachine n’est pas ici une métaphore spectaculaire ; elle désigne une forme de coordination impersonnelle où les corps, les ressources et les rythmes deviennent compatibles à grande échelle. Ce qui fonde n’est plus seulement récit ou rite ; ce qui opère n’est plus seulement geste ou médiation ; la scène tend à se loger dans la continuité même des agencements. La régulation tient parce que les flux tiennent.</w:t>
      </w:r>
    </w:p>
    <w:p>
      <w:pPr>
        <w:pStyle w:val="BodyText"/>
        <w:rPr/>
      </w:pPr>
      <w:r>
        <w:rPr>
          <w:b w:val="false"/>
          <w:bCs w:val="false"/>
        </w:rPr>
        <w:t xml:space="preserve">Le quatrième est le </w:t>
      </w:r>
      <w:r>
        <w:rPr>
          <w:rStyle w:val="Strong"/>
          <w:b w:val="false"/>
          <w:bCs w:val="false"/>
        </w:rPr>
        <w:t>méta-régime archicratique scripturo-normatif</w:t>
      </w:r>
      <w:r>
        <w:rPr>
          <w:b w:val="false"/>
          <w:bCs w:val="false"/>
        </w:rPr>
        <w:t xml:space="preserve">. L’écrit y transforme la régulation en lui donnant une mémoire externe, transportable, consultable, réactivable. La trace devient opérateur d’autorité différée. Une règle consignée peut survivre à son énonciateur, circuler, être relue, appliquée, contestée ou réinterprétée. </w:t>
      </w:r>
      <w:r>
        <w:rPr/>
        <w:t>L’archive excède la conservation ; elle devient une puissance de régulation.</w:t>
      </w:r>
      <w:r>
        <w:rPr>
          <w:b w:val="false"/>
          <w:bCs w:val="false"/>
        </w:rPr>
        <w:t xml:space="preserve"> Ce méta-régime marque un seuil décisif : l’ordre peut désormais se détacher de la présence immédiate de ceux qui le portent.</w:t>
      </w:r>
    </w:p>
    <w:p>
      <w:pPr>
        <w:pStyle w:val="BodyText"/>
        <w:rPr/>
      </w:pPr>
      <w:r>
        <w:rPr>
          <w:b w:val="false"/>
          <w:bCs w:val="false"/>
        </w:rPr>
        <w:t xml:space="preserve">Le cinquième est le </w:t>
      </w:r>
      <w:r>
        <w:rPr>
          <w:rStyle w:val="Strong"/>
          <w:b w:val="false"/>
          <w:bCs w:val="false"/>
        </w:rPr>
        <w:t>méta-régime archicratique scripturo-cosmologique</w:t>
      </w:r>
      <w:r>
        <w:rPr>
          <w:b w:val="false"/>
          <w:bCs w:val="false"/>
        </w:rPr>
        <w:t>. Il ne relève pas simplement de l’écrit normatif. Il apparaît lorsque l’écriture stabilise une correspondance entre l’ordre du monde et l’ordre humain : calendriers, textes cosmographiques, cycles célestes, orientations rituelles, analogies entre ciel, terre, corps et pouvoir. La régulation y tire sa force d’une homologie : bien tenir la société, c’est l’accorder à une architecture du monde. Ce méta-régime devra être distingué avec prudence du théologique, car il fonde moins par révélation que par ordonnancement cosmique.</w:t>
      </w:r>
    </w:p>
    <w:p>
      <w:pPr>
        <w:pStyle w:val="BodyText"/>
        <w:rPr/>
      </w:pPr>
      <w:r>
        <w:rPr>
          <w:b w:val="false"/>
          <w:bCs w:val="false"/>
        </w:rPr>
        <w:t xml:space="preserve">Le sixième est le </w:t>
      </w:r>
      <w:r>
        <w:rPr>
          <w:rStyle w:val="Strong"/>
          <w:b w:val="false"/>
          <w:bCs w:val="false"/>
        </w:rPr>
        <w:t>méta-régime archicratique théologique</w:t>
      </w:r>
      <w:r>
        <w:rPr>
          <w:b w:val="false"/>
          <w:bCs w:val="false"/>
        </w:rPr>
        <w:t>. Ici, l’obligation procède d’une parole reçue comme transcendante : révélation, commandement divin, doctrine, exégèse, tradition interprétative. La norme ne vaut pas d’abord parce qu’elle est ancienne, efficace ou publiquement délibérée ; elle vaut parce qu’elle provient d’une instance tenue pour supérieure à l’ordre humain. Mais cette provenance ne supprime pas la médiation. Elle l’intensifie : interprètes, écoles, tribunaux religieux, liturgies et controverses doctrinales deviennent les lieux où la parole fondatrice est transmise, disputée, maintenue ou reformulée.</w:t>
      </w:r>
    </w:p>
    <w:p>
      <w:pPr>
        <w:pStyle w:val="BodyText"/>
        <w:rPr/>
      </w:pPr>
      <w:r>
        <w:rPr>
          <w:b w:val="false"/>
          <w:bCs w:val="false"/>
        </w:rPr>
        <w:t xml:space="preserve">Le septième est le </w:t>
      </w:r>
      <w:r>
        <w:rPr>
          <w:rStyle w:val="Strong"/>
          <w:b w:val="false"/>
          <w:bCs w:val="false"/>
        </w:rPr>
        <w:t>méta-régime archicratique historiographique</w:t>
      </w:r>
      <w:r>
        <w:rPr>
          <w:b w:val="false"/>
          <w:bCs w:val="false"/>
        </w:rPr>
        <w:t>. Il fonde la co-viabilité sur un récit partagé : généalogie, chronique, mémoire collective, événement fondateur, commémoration, archive narrative. L’ordre y tient par la capacité d’un collectif à se raconter comme continuité. Ce méta-régime ne se réduit pas à la mémoire ; il suppose une institution de la mémoire, c’est-à-dire des formes par lesquelles le passé est sélectionné, transmis, réactivé et rendu politiquement opérant. Sa force est de donner au commun une profondeur temporelle ; son risque est de fermer l’histoire sur une fidélité devenue intouchable.</w:t>
      </w:r>
    </w:p>
    <w:p>
      <w:pPr>
        <w:pStyle w:val="BodyText"/>
        <w:rPr/>
      </w:pPr>
      <w:r>
        <w:rPr>
          <w:b w:val="false"/>
          <w:bCs w:val="false"/>
        </w:rPr>
        <w:t xml:space="preserve">Le huitième est le </w:t>
      </w:r>
      <w:r>
        <w:rPr>
          <w:rStyle w:val="Strong"/>
          <w:b w:val="false"/>
          <w:bCs w:val="false"/>
        </w:rPr>
        <w:t>méta-régime archicratique épistémique</w:t>
      </w:r>
      <w:r>
        <w:rPr>
          <w:b w:val="false"/>
          <w:bCs w:val="false"/>
        </w:rPr>
        <w:t>. Il organise la régulation autour de la preuve, de l’enquête, de la méthode, de la démonstration, de la vérification et de la révision. Ce qui fonde doit pouvoir être établi ; ce qui opère doit pouvoir être documenté ; ce qui est contesté doit pouvoir être soumis à une scène de validation. L’autorité y procède moins de l’ancienneté, de la révélation ou de la force que d’une procédure de connaissance partageable. Ce méta-régime est essentiel pour comprendre les sociétés savantes, les expertises, les controverses publiques et les dispositifs modernes de validation.</w:t>
      </w:r>
    </w:p>
    <w:p>
      <w:pPr>
        <w:pStyle w:val="BodyText"/>
        <w:rPr/>
      </w:pPr>
      <w:r>
        <w:rPr>
          <w:b w:val="false"/>
          <w:bCs w:val="false"/>
        </w:rPr>
        <w:t xml:space="preserve">Le neuvième est le </w:t>
      </w:r>
      <w:r>
        <w:rPr>
          <w:rStyle w:val="Strong"/>
          <w:b w:val="false"/>
          <w:bCs w:val="false"/>
        </w:rPr>
        <w:t>méta-régime archicratique esthético-symbolique</w:t>
      </w:r>
      <w:r>
        <w:rPr>
          <w:b w:val="false"/>
          <w:bCs w:val="false"/>
        </w:rPr>
        <w:t>. Son autonomie est plus délicate à établir, mais elle ne doit pas être écartée trop vite. Certaines régulations agissent d’abord par les formes sensibles : images, canons, styles, architectures, vêtements, gestes, manières d’habiter, de représenter ou de percevoir. Elles ne commandent pas toujours explicitement ; elles configurent ce qui paraît convenable, noble, désirable, honteux, légitime ou intolérable. Ici, le sensible n’est pas un décor du pouvoir. Il devient l’un des milieux où la co-viabilité se règle.</w:t>
      </w:r>
    </w:p>
    <w:p>
      <w:pPr>
        <w:pStyle w:val="BodyText"/>
        <w:rPr/>
      </w:pPr>
      <w:r>
        <w:rPr>
          <w:b w:val="false"/>
          <w:bCs w:val="false"/>
        </w:rPr>
        <w:t xml:space="preserve">Le dixième est le </w:t>
      </w:r>
      <w:r>
        <w:rPr>
          <w:rStyle w:val="Strong"/>
          <w:b w:val="false"/>
          <w:bCs w:val="false"/>
        </w:rPr>
        <w:t>méta-régime archicratique normativo-politique</w:t>
      </w:r>
      <w:r>
        <w:rPr>
          <w:b w:val="false"/>
          <w:bCs w:val="false"/>
        </w:rPr>
        <w:t>. C’est celui que les sciences politiques reconnaissent le plus spontanément : loi, droit, souveraineté, représentation, délibération, contentieux, constitution, procédures publiques. Mais il ne doit pas être confondu avec un régime politique particulier. Il désigne le moment où la co-viabilité se règle explicitement par des normes déclarées, des institutions de décision, des scènes de justification et des formes de recours. Sa centralité historique ne doit pas masquer qu’il n’épuise pas le politique ; il n’en est qu’une matrice parmi d’autres.</w:t>
      </w:r>
    </w:p>
    <w:p>
      <w:pPr>
        <w:pStyle w:val="BodyText"/>
        <w:rPr/>
      </w:pPr>
      <w:r>
        <w:rPr>
          <w:b w:val="false"/>
          <w:bCs w:val="false"/>
        </w:rPr>
        <w:t xml:space="preserve">Le onzième est le </w:t>
      </w:r>
      <w:r>
        <w:rPr>
          <w:rStyle w:val="Strong"/>
          <w:b w:val="false"/>
          <w:bCs w:val="false"/>
        </w:rPr>
        <w:t>méta-régime archicratique marchand</w:t>
      </w:r>
      <w:r>
        <w:rPr>
          <w:b w:val="false"/>
          <w:bCs w:val="false"/>
        </w:rPr>
        <w:t xml:space="preserve">. </w:t>
      </w:r>
      <w:r>
        <w:rPr/>
        <w:t>Il ne désigne pas le marché réduit à son institution économique.</w:t>
      </w:r>
      <w:r>
        <w:rPr>
          <w:b w:val="false"/>
          <w:bCs w:val="false"/>
        </w:rPr>
        <w:t xml:space="preserve"> Il désigne une matrice de régulation où l’échange, le prix, la solvabilité, le contrat, la dette, le crédit et l’arbitrage concurrentiel organisent les accès, les priorités, les conduites et les attentes. Le marchand devient méta-régime lorsque l’équivalence économique cesse d’être un secteur particulier pour devenir une forme générale de hiérarchisation du monde commun. Il faut donc l’analyser sans économicisme : non comme simple circulation de biens, mais comme puissance de structuration des possibles.</w:t>
      </w:r>
    </w:p>
    <w:p>
      <w:pPr>
        <w:pStyle w:val="BodyText"/>
        <w:rPr/>
      </w:pPr>
      <w:r>
        <w:rPr>
          <w:b w:val="false"/>
          <w:bCs w:val="false"/>
        </w:rPr>
        <w:t xml:space="preserve">Le douzième est le </w:t>
      </w:r>
      <w:r>
        <w:rPr>
          <w:rStyle w:val="Strong"/>
          <w:b w:val="false"/>
          <w:bCs w:val="false"/>
        </w:rPr>
        <w:t>méta-régime archicratique guerrier</w:t>
      </w:r>
      <w:r>
        <w:rPr>
          <w:b w:val="false"/>
          <w:bCs w:val="false"/>
        </w:rPr>
        <w:t>. Il ne se réduit ni à la guerre comme événement, ni à l’armée comme institution. Il désigne une forme de co-viabilité organisée autour de l’épreuve, de l’honneur, de la discipline, du commandement, de la menace, de la frontière et de la violence réglée. La guerre détruit, mais elle peut aussi instituer des appartenances, produire des hiérarchies, stabiliser des récits, régler des loyautés et donner forme à des scènes de reconnaissance. Ce méta-régime doit être abordé sans fascination : sa puissance régulatrice est indissociable de sa capacité de dévastation.</w:t>
      </w:r>
    </w:p>
    <w:p>
      <w:pPr>
        <w:pStyle w:val="BodyText"/>
        <w:rPr/>
      </w:pPr>
      <w:r>
        <w:rPr>
          <w:b w:val="false"/>
          <w:bCs w:val="false"/>
        </w:rPr>
        <w:t xml:space="preserve">À ces douze méta-régimes archicratiques s’ajoute un </w:t>
      </w:r>
      <w:r>
        <w:rPr>
          <w:rStyle w:val="Strong"/>
          <w:b w:val="false"/>
          <w:bCs w:val="false"/>
        </w:rPr>
        <w:t>plan différentiel-hybride</w:t>
      </w:r>
      <w:r>
        <w:rPr>
          <w:b w:val="false"/>
          <w:bCs w:val="false"/>
        </w:rPr>
        <w:t>. Il ne constitue pas un treizième méta-régime. Il désigne le champ des compositions, superpositions, transitions, oscillations et mélanges. De nombreuses sociétés combinent des prises sacrales, scripturales, politiques, marchandes, guerrières, esthétiques ou épistémiques selon des intensités variables. Le plan hybride permet de penser ces agencements sans multiplier indéfiniment les catégories. Il est une discipline de la complexité, non un supplément taxinomique.</w:t>
      </w:r>
    </w:p>
    <w:p>
      <w:pPr>
        <w:pStyle w:val="BodyText"/>
        <w:rPr>
          <w:b w:val="false"/>
          <w:bCs w:val="false"/>
        </w:rPr>
      </w:pPr>
      <w:r>
        <w:rPr>
          <w:b w:val="false"/>
          <w:bCs w:val="false"/>
        </w:rPr>
        <w:t>Le cybernético-calculatoire reçoit, lui aussi, un statut distinct. Il ne sera pas traité comme un méta-régime archicratique archéogénétique de même rang. Sa singularité est contemporaine, techniquement circonscrite et historiquement située : automatisation des opérations, calcul des comportements, interconnexion des bases de données, pilotage par indicateurs, anticipation algorithmique, déplacement ou neutralisation des scènes d’épreuve. Il sera abordé en fin de chapitre comme configuration-limite, avant d’être repris dans l’analyse des révolutions industrielles et des tensions contemporaines.</w:t>
      </w:r>
    </w:p>
    <w:p>
      <w:pPr>
        <w:pStyle w:val="BodyText"/>
        <w:rPr>
          <w:b w:val="false"/>
          <w:bCs w:val="false"/>
        </w:rPr>
      </w:pPr>
      <w:r>
        <w:rPr>
          <w:b w:val="false"/>
          <w:bCs w:val="false"/>
        </w:rPr>
        <w:t>Les développements qui suivent devront donc être lus comme une cartographie raisonnée, non comme une taxinomie fermée. Les méta-régimes ne valent pas par leur nombre, mais par leur pouvoir de discernement. Chacun devra montrer qu’il articule de manière propre un principe de validité, une forme d’opération et une scène, même minimale, de transmission, d’épreuve ou de reprise. Lorsque cette autonomie ne sera pas suffisamment établie, la configuration devra être rétrogradée : variante, pli, sous-type ou composition hybride.</w:t>
      </w:r>
    </w:p>
    <w:p>
      <w:pPr>
        <w:pStyle w:val="BodyText"/>
        <w:rPr>
          <w:b w:val="false"/>
          <w:bCs w:val="false"/>
        </w:rPr>
      </w:pPr>
      <w:r>
        <w:rPr>
          <w:b w:val="false"/>
          <w:bCs w:val="false"/>
        </w:rPr>
        <w:t>Cette règle protège le chapitre contre son risque principal. Il ne s’agit pas de prouver que tout est archicratique. Il s’agit de montrer où, quand et comment certaines formes de co-viabilité deviennent lisibles comme méta-régimes de fondation, d’opération et d’épreuve.</w:t>
      </w:r>
    </w:p>
    <w:p>
      <w:pPr>
        <w:pStyle w:val="Heading3"/>
        <w:numPr>
          <w:ilvl w:val="2"/>
          <w:numId w:val="2"/>
        </w:numPr>
        <w:rPr/>
      </w:pPr>
      <w:r>
        <w:rPr/>
        <w:t xml:space="preserve">2.2.1 — </w:t>
      </w:r>
      <w:r>
        <w:rPr>
          <w:i/>
          <w:iCs/>
        </w:rPr>
        <w:t>Le méta-régime archicratique proto-symbolique</w:t>
      </w:r>
    </w:p>
    <w:p>
      <w:pPr>
        <w:pStyle w:val="BodyText"/>
        <w:rPr/>
      </w:pPr>
      <w:r>
        <w:rPr/>
        <w:t>Bien avant l’institution étatique, l’écriture ou la formalisation juridique, les collectifs humains ont dû rendre viable la co-présence dans des environnements marqués par la mobilité, l’incertitude, la vulnérabilité des corps et la violence possible des relations. Le méta-régime archicratique proto-symbolique désigne cette configuration première où la co-viabilité repose sur l’incorporation rituelle, la mémoire affective, la scénarisation du geste, le codage des seuils et le partage symbolique du sensible.</w:t>
      </w:r>
    </w:p>
    <w:p>
      <w:pPr>
        <w:pStyle w:val="BodyText"/>
        <w:rPr/>
      </w:pPr>
      <w:r>
        <w:rPr/>
        <w:t>Il ne s’agit pas d’un pré-politique confus, ni d’un stade primitif appelé à être dépassé. Il s’agit d’une matrice morphologique de régulation : le fondement s’y distribue dans les signes, les récits probables, les interdits, les lieux et les mémoires ; la puissance opérante circule dans les corps, les gestes, les objets, les rythmes et les circulations ; la scène se constitue chaque fois qu’un seuil, une perte, un échange ou une transformation est rendu partageable.</w:t>
      </w:r>
    </w:p>
    <w:p>
      <w:pPr>
        <w:pStyle w:val="BodyText"/>
        <w:rPr/>
      </w:pPr>
      <w:r>
        <w:rPr/>
        <w:t>Le proto-symbolique exige toutefois la retenue maximale. Les sociétés paléolithiques ne nous livrent ni doctrine explicite, ni texte normatif, ni théorie de leurs propres régulations. L’analyse ne peut donc pas leur attribuer directement des catégories qu’elles n’énoncent pas. Elle peut en revanche repérer, à partir de traces matérielles et de comparaisons anthropologiques contrôlées, des formes de mise en ordre, de différé, de mémoire et de transmission. C’est en ce sens que le proto-symbolique devient lisible comme méta-régime archicratique.</w:t>
      </w:r>
    </w:p>
    <w:p>
      <w:pPr>
        <w:pStyle w:val="BodyText"/>
        <w:rPr/>
      </w:pPr>
      <w:r>
        <w:rPr/>
        <w:t>Les figures qui suivent, sépultures, interdits, échanges différés, scènes visionnaires et spatialisation symbolique, ne valent donc pas comme curiosités archaïques. Elles servent à identifier les prises minimales d’une co-viabilité sans État, sans écriture et sans appareil centralisé.</w:t>
      </w:r>
    </w:p>
    <w:p>
      <w:pPr>
        <w:pStyle w:val="BodyText"/>
        <w:rPr/>
      </w:pPr>
      <w:r>
        <w:rPr/>
        <w:t>Les sépultures paléolithiques constituent l’un des lieux les plus forts de cette lecture. Elles suggèrent que la mort, d’abord disparition biologique, peut être convertie en lieu, en geste, en mémoire et en forme partagée. En instituant un traitement du corps mort, le collectif suspend le flux naturel de la décomposition, différencie un espace, ordonne des gestes et produit une mémoire de la limite.</w:t>
      </w:r>
    </w:p>
    <w:p>
      <w:pPr>
        <w:pStyle w:val="BodyText"/>
        <w:rPr/>
      </w:pPr>
      <w:r>
        <w:rPr/>
        <w:t>Les cas de Sungir, de Dolní Věstonice et de La Chapelle-aux-Saints permettent d’en saisir trois modalités.</w:t>
      </w:r>
    </w:p>
    <w:p>
      <w:pPr>
        <w:pStyle w:val="BodyText"/>
        <w:rPr/>
      </w:pPr>
      <w:r>
        <w:rPr/>
        <w:t>À Sungir, dans le contexte gravettien, les sépultures richement ornées d’un adulte et de deux enfants, accompagnées de plus de treize mille perles d’ivoire, de pointes en os, de disques et de bracelets, indiquent un investissement collectif considérable. La fabrication des parures suppose du temps, une organisation du geste et une destination symbolique excédant l’usage immédiat. Dans une lecture archicratique prudente, ce dispositif rend lisible une mémoire investie dans le signe, un travail rituel longuement organisé, et une scène funéraire où le collectif donne forme à la perte.</w:t>
      </w:r>
    </w:p>
    <w:p>
      <w:pPr>
        <w:pStyle w:val="BodyText"/>
        <w:rPr/>
      </w:pPr>
      <w:r>
        <w:rPr/>
        <w:t>À Dolní Věstonice, la triple sépulture, l’usage de l’ocre, les orientations corporelles, la proximité des foyers d’argile et des figurines humaines ou animales composent un autre régime de mise en forme. Le corps, la matière, le feu, la couleur et l’orientation ne relèvent pas d’une description neutre. Ils peuvent être lus comme les composantes d’une scène où la finitude est traitée par des gestes différés, transmis et collectivement reconnaissables.</w:t>
      </w:r>
    </w:p>
    <w:p>
      <w:pPr>
        <w:pStyle w:val="BodyText"/>
        <w:rPr/>
      </w:pPr>
      <w:r>
        <w:rPr/>
        <w:t>La Chapelle-aux-Saints engage une prudence plus grande encore, en raison de l’ancienneté du site et des débats qui entourent l’interprétation des sépultures néandertaliennes. Mais l’hypothèse d’une fosse intentionnelle, réexaminée par les travaux récents, permet d’y voir au moins un indice puissant : le corps n’est plus laissé au seul devenir naturel. Il est placé, retenu, différencié. Cette mise en réserve introduit une temporalité autre que celle de la disparition immédiate.</w:t>
      </w:r>
    </w:p>
    <w:p>
      <w:pPr>
        <w:pStyle w:val="BodyText"/>
        <w:rPr/>
      </w:pPr>
      <w:r>
        <w:rPr/>
        <w:t>Ces exemples ne prouvent pas l’existence d’institutions politiques au sens classique. Ils indiquent autre chose, plus profond pour notre propos : une capacité à convertir la mort en scène régulatrice. Le collectif y traite la limite, non par concept, mais par forme. Il institue un lieu où la disparition devient mémoire, où le corps devient support de relation, où la perte est rendue habitable.</w:t>
      </w:r>
    </w:p>
    <w:p>
      <w:pPr>
        <w:pStyle w:val="BodyText"/>
        <w:rPr/>
      </w:pPr>
      <w:r>
        <w:rPr/>
        <w:t>À côté des sépultures, les interdits et les différenciations symboliques permettent d’approcher une autre dimension du méta-régime proto-symbolique. Dans les sociétés sans écriture, les bornes du comportement ne prennent pas nécessairement la forme d’une loi. Elles peuvent se déposer dans des tabous, des règles d’alliance, des distributions d’espace, des usages alimentaires, des objets investis, des gestes permis ou proscrits.</w:t>
      </w:r>
    </w:p>
    <w:p>
      <w:pPr>
        <w:pStyle w:val="BodyText"/>
        <w:rPr/>
      </w:pPr>
      <w:r>
        <w:rPr/>
        <w:t>L’interdit de l’inceste, tel que Lévi-Strauss l’a analysé, ne vaut pas ici comme modèle à projeter directement sur le Paléolithique. Il sert plutôt à comprendre une structure possible : la prohibition ne détruit pas la relation ; elle la redistribue. Elle introduit du différé, de l’alliance, de la circulation et de l’adresse. Dans des contextes où les traces directes demeurent lacunaires, cette logique ne peut être reconstruite qu’avec réserve, à partir des habitats, des sépultures multiples, des dissymétries figuratives ou des indices d’échanges entre groupes.</w:t>
      </w:r>
    </w:p>
    <w:p>
      <w:pPr>
        <w:pStyle w:val="BodyText"/>
        <w:rPr/>
      </w:pPr>
      <w:r>
        <w:rPr/>
        <w:t>Les interdits alimentaires ou sexuels relèvent de la même prudence. La sélection des espèces consommées, le traitement différencié des restes, la mise à l’écart de certaines parties animales ou la présence de figures liées à la reproduction peuvent suggérer des codages du licite, du dangereux, du désirable ou du transmissible. Mais ces hypothèses doivent rester ouvertes. Leur intérêt archicratique tient moins à leur contenu exact qu’à la structure qu’elles rendent intelligible : une tension biologique ou relationnelle devient forme, seuil, distribution et mémoire.</w:t>
      </w:r>
    </w:p>
    <w:p>
      <w:pPr>
        <w:pStyle w:val="BodyText"/>
        <w:rPr/>
      </w:pPr>
      <w:r>
        <w:rPr/>
        <w:t>Les échanges différés approfondissent cette logique. Avec Mauss, puis Godelier, le don ne peut être réduit à la circulation d’un objet. Il institue une temporalité du retour. Donner, recevoir, rendre : cette séquence ouvre un intervalle où le lien se maintient, où l’obligation circule, où la relation demeure active sans contrainte immédiate. Transposée avec prudence au Paléolithique supérieur, cette logique peut éclairer la circulation de perles, de coquillages, de pigments, de pointes en os ou d’obsidienne sur de longues distances.</w:t>
      </w:r>
    </w:p>
    <w:p>
      <w:pPr>
        <w:pStyle w:val="BodyText"/>
        <w:rPr/>
      </w:pPr>
      <w:r>
        <w:rPr/>
        <w:t>Ces objets ne se réduisent pas à des biens. Ils peuvent devenir supports visibles d’un lien différé. Leur trajectoire rend perceptible une relation qui ne se clôt pas dans l’échange immédiat. Le don oblige sans commander. Il appelle sans forcer. Il maintient le collectif dans une temporalité d’attente, de retour et de mémoire. C’est une forme élémentaire de scène différée : la relation ne se clôt pas dans l’acte immédiat ; elle peut être rejouée, rappelée, réactivée.</w:t>
      </w:r>
    </w:p>
    <w:p>
      <w:pPr>
        <w:pStyle w:val="BodyText"/>
        <w:rPr/>
      </w:pPr>
      <w:r>
        <w:rPr/>
        <w:t>Les scènes visionnaires constituent une autre voie d’accès au proto-symbolique. Les grottes ornées, Chauvet, Cosquer, Altamira, Pech Merle ou Trois-Frères, ne peuvent être réduites à des espaces décoratifs. Leur profondeur, leurs parcours, leurs reliefs, leurs superpositions de figures et leurs effets perceptifs suggèrent des lieux de co-présence non ordinaire. Le groupe y entre dans un espace séparé, où le visible est transformé, où les corps se déplacent autrement, où la perception elle-même devient matière de régulation.</w:t>
      </w:r>
    </w:p>
    <w:p>
      <w:pPr>
        <w:pStyle w:val="BodyText"/>
        <w:rPr/>
      </w:pPr>
      <w:r>
        <w:rPr/>
        <w:t>Les travaux de Lewis-Williams et de Clottes ont proposé d’y lire des dispositifs liés à des états modifiés de perception, à des passages entre mondes, à des hybridations sensibles. Ces lectures demeurent discutables, mais elles ont ici une fonction précise : montrer que certaines scènes proto-symboliques peuvent réguler par transformation des conditions mêmes de perception. Elles rendent partageable ce qui excède la maîtrise immédiate : peur, incertitude, animalité, mort, passage, puissance invisible.</w:t>
      </w:r>
    </w:p>
    <w:p>
      <w:pPr>
        <w:pStyle w:val="BodyText"/>
        <w:rPr/>
      </w:pPr>
      <w:r>
        <w:rPr/>
        <w:t>Les figures chamaniques, lorsqu’elles peuvent être mobilisées avec prudence, ne doivent pas être comprises comme des autorités de commandement. Elles fonctionnent plutôt comme des opérateurs de modulation. Elles mettent en relation, transforment les perspectives, rythment les affects, synchronisent les corps. Dans cette perspective, la scène rituelle ne tranche pas le conflit ; elle le déplace, le rejoue, le rend supportable.</w:t>
      </w:r>
    </w:p>
    <w:p>
      <w:pPr>
        <w:pStyle w:val="BodyText"/>
        <w:rPr/>
      </w:pPr>
      <w:r>
        <w:rPr/>
        <w:t>La spatialisation symbolique complète cette morphologie. L’espace paléolithique n’est pas réductible à l’abri, au stockage ou à la nécessité matérielle. Certains lieux semblent qualifiés, différenciés, intensifiés. Bruniquel, avec ses structures de stalagmites profondément enfouies dans la cavité, offre à cet égard un indice exceptionnel d’agencement non domestique. Occuper un lieu ne suffit plus : l’agencement produit une scène.</w:t>
      </w:r>
    </w:p>
    <w:p>
      <w:pPr>
        <w:pStyle w:val="BodyText"/>
        <w:rPr/>
      </w:pPr>
      <w:r>
        <w:rPr/>
        <w:t>Les grottes ornées prolongent cette logique. Les figures s’inscrivent dans des morphologies pariétales, exploitent les reliefs, les failles, les bifurcations et les passages. La paroi ne sert pas de support neutre. Elle oriente le geste, module le parcours, distribue les intensités. Les objets portables, perles, pendeloques, bâtons percés, pigments ou parures, participent aussi de cette spatialisation : ils déplacent des appartenances, rendent visibles des relations, transportent des mémoires.</w:t>
      </w:r>
    </w:p>
    <w:p>
      <w:pPr>
        <w:pStyle w:val="BodyText"/>
        <w:rPr/>
      </w:pPr>
      <w:r>
        <w:rPr/>
        <w:t>Dans les habitats, la disposition des foyers, des zones d’activité, des objets investis ou des espaces différenciés peut également suggérer des matrices de co-présence. Là encore, la prudence s’impose. Mais l’enjeu est clair : la régulation peut passer par la disposition des lieux avant de passer par une règle formulée. L’espace module les conduites. Il rend certains gestes possibles, certaines proximités acceptables, certaines distances nécessaires.</w:t>
      </w:r>
    </w:p>
    <w:p>
      <w:pPr>
        <w:pStyle w:val="BodyText"/>
        <w:rPr/>
      </w:pPr>
      <w:r>
        <w:rPr/>
        <w:t>Le méta-régime proto-symbolique se dessine alors comme une forme de co-viabilité sans appareil centralisé, sans codification explicite et sans souveraineté instituée, mais structurée par des médiations puissantes : sépultures, interdits, dons différés, scènes visionnaires, objets investis, spatialisation des seuils. Le fondement n’y est pas séparé sous la forme d’une doctrine. L’opération n’y est pas concentrée dans une administration. L’épreuve n’y prend pas la forme d’un recours. Pourtant, quelque chose se fonde, quelque chose agit, quelque chose se rejoue.</w:t>
      </w:r>
    </w:p>
    <w:p>
      <w:pPr>
        <w:pStyle w:val="BodyText"/>
        <w:rPr/>
      </w:pPr>
      <w:r>
        <w:rPr/>
        <w:t>C’est précisément ce qui justifie son statut de méta-régime archicratique. Le proto-symbolique rend lisible une forme première de tenue : suspendre l’immédiateté, donner forme à la perte, distribuer les interdits, différer l’échange, transformer le sensible, qualifier les lieux. La régulation n’y impose pas encore un ordre depuis un centre. Elle émerge des médiations mêmes qui rendent le monde habitable.</w:t>
      </w:r>
    </w:p>
    <w:p>
      <w:pPr>
        <w:pStyle w:val="BodyText"/>
        <w:rPr/>
      </w:pPr>
      <w:r>
        <w:rPr/>
        <w:t>Ce premier méta-régime montre ainsi que la lecture archicratique ne suppose ni État, ni loi écrite, ni institution formelle pour devenir pertinente. Elle apparaît, pour l’analyse, dès que des collectifs humains inventent des formes capables de transformer la contrainte, la perte, la violence possible et l’incertitude en scènes de mémoire, de relation et de reprise.</w:t>
      </w:r>
    </w:p>
    <w:p>
      <w:pPr>
        <w:pStyle w:val="Heading3"/>
        <w:numPr>
          <w:ilvl w:val="2"/>
          <w:numId w:val="2"/>
        </w:numPr>
        <w:rPr/>
      </w:pPr>
      <w:r>
        <w:rPr/>
        <w:t xml:space="preserve">2.2.2 — </w:t>
      </w:r>
      <w:r>
        <w:rPr>
          <w:i/>
          <w:iCs/>
        </w:rPr>
        <w:t>Le méta-régime archicratique</w:t>
      </w:r>
      <w:r>
        <w:rPr/>
        <w:t xml:space="preserve"> </w:t>
      </w:r>
      <w:r>
        <w:rPr>
          <w:i/>
          <w:iCs/>
        </w:rPr>
        <w:t>sacral non étatique</w:t>
      </w:r>
    </w:p>
    <w:p>
      <w:pPr>
        <w:pStyle w:val="BodyText"/>
        <w:rPr/>
      </w:pPr>
      <w:r>
        <w:rPr/>
        <w:t>Le méta-régime archicratique proto-symbolique montrait comment des collectifs peuvent rendre la co-présence viable par des gestes, des seuils, des sépultures, des interdits, des échanges différés et des scènes sensibles. Avec le sacral non étatique, un autre type de configuration apparaît. La régulation s’y déplace : les gestes incorporés et la mémoire vive des seuils demeurent, mais ils s’organisent autour de puissances mises à distance, d’objets retirés, de lieux séparés, de figures médiatrices et de rythmes cérémoniels.</w:t>
      </w:r>
    </w:p>
    <w:p>
      <w:pPr>
        <w:pStyle w:val="BodyText"/>
        <w:rPr/>
      </w:pPr>
      <w:r>
        <w:rPr/>
        <w:t>Il ne s’agit pas encore du théologique au sens strict. Le sacral non étatique ne suppose pas nécessairement une révélation, une doctrine constituée, un clergé stabilisé ou une loi divine consignée. Il désigne une forme de co-viabilité où l’invisible structure le visible sans se convertir en souveraineté centralisée. Le pouvoir y agit souvent parce qu’il n’est pas appropriable. Il circule dans des objets, des rites, des interdits, des masques, des récits, des lieux ou des médiateurs qui empêchent sa capture durable par une personne ou un organe unique.</w:t>
      </w:r>
    </w:p>
    <w:p>
      <w:pPr>
        <w:pStyle w:val="BodyText"/>
        <w:rPr/>
      </w:pPr>
      <w:r>
        <w:rPr/>
        <w:t>Ce méta-régime oblige donc à distinguer autorité et souveraineté. Une société peut reconnaître des puissances, des seuils, des interdits et des figures d’intercession sans constituer un État. Elle peut instituer des obligations sans les rapporter à une loi positive. Elle peut organiser des scènes d’épreuve sans les concentrer dans une juridiction. Le sacré y régule par différenciation, retrait et médiation.</w:t>
      </w:r>
    </w:p>
    <w:p>
      <w:pPr>
        <w:pStyle w:val="BodyText"/>
        <w:rPr/>
      </w:pPr>
      <w:r>
        <w:rPr/>
        <w:t>Cette forme doit être abordée avec prudence. Les sociétés mobilisées ici ne relèvent pas d’un modèle uniforme. Un site néolithique monumental, un système totémique, une société amazonienne, un rite africain ou un dispositif divinatoire ne peuvent être rabattus sur une structure identique. Ils deviennent comparables seulement par un trait morphologique commun : la co-viabilité s’y organise autour d’instances qui fondent, orientent ou éprouvent les relations sans se réduire à une autorité souveraine.</w:t>
      </w:r>
    </w:p>
    <w:p>
      <w:pPr>
        <w:pStyle w:val="BodyText"/>
        <w:rPr/>
      </w:pPr>
      <w:r>
        <w:rPr/>
        <w:t>Le totémisme permet d’approcher cette logique. Il ne doit pas être compris comme une croyance primitive, ni comme une simple identification entre humains et non-humains. Dans la lecture ouverte par Lévi-Strauss, puis déplacée par Descola, il organise des différences, des appartenances, des interdits et des relations. Le totem excède la fonction de signe ; il peut devenir opérateur de distribution. Il distingue des groupes, règle des alliances, qualifie des lieux, module des interdits et stabilise des formes de relation.</w:t>
      </w:r>
    </w:p>
    <w:p>
      <w:pPr>
        <w:pStyle w:val="BodyText"/>
        <w:rPr/>
      </w:pPr>
      <w:r>
        <w:rPr/>
        <w:t>Le site de Göbekli Tepe offre, avec toutes les précautions qu’exige son interprétation, une figure particulièrement forte de ce sacral non étatique. Ses enceintes monumentales, ses piliers anthropomorphes, ses animaux gravés, son absence relative de fonction domestique immédiatement identifiable suggèrent une scène collective où l’ordre se forme sans appareil souverain connu. Les figures animales n’y valent pas comme décor. Elles semblent organiser une différenciation symbolique du monde, une mise en présence de puissances, de seuils et de relations.</w:t>
      </w:r>
    </w:p>
    <w:p>
      <w:pPr>
        <w:pStyle w:val="BodyText"/>
        <w:rPr/>
      </w:pPr>
      <w:r>
        <w:rPr/>
        <w:t>Dans une lecture archicratique prudente, Göbekli Tepe ne prouve pas l’existence d’une institution politique constituée. Il rend cependant lisible une configuration dans laquelle la scène précède l’État, où le monument organise la co-présence, où l’invisible oriente le visible, où la cohérence collective se noue autour d’un lieu séparé. La puissance du site tient précisément à cela : il oblige à penser une régulation monumentale sans souveraineté attestée.</w:t>
      </w:r>
    </w:p>
    <w:p>
      <w:pPr>
        <w:pStyle w:val="BodyText"/>
        <w:rPr/>
      </w:pPr>
      <w:r>
        <w:rPr/>
        <w:t>Cette logique se retrouve, sous d’autres formes, dans les systèmes où le territoire devient carte relationnelle. Certaines sociétés aborigènes d’Australie, à travers les associations entre totems, lieux, récits et trajectoires mythiques, donnent à voir une co-viabilité inscrite dans l’espace. Le lieu excède l’emplacement. Il porte une mémoire, une obligation, une appartenance, parfois une interdiction. Habiter, circuler, chanter, transmettre ou franchir deviennent des actes régulés par un ordre symbolique distribué.</w:t>
      </w:r>
    </w:p>
    <w:p>
      <w:pPr>
        <w:pStyle w:val="BodyText"/>
        <w:rPr/>
      </w:pPr>
      <w:r>
        <w:rPr/>
        <w:t>Le sacral non étatique se manifeste aussi dans les objets retirés. Certains objets ne régulent pas parce qu’ils sont utilisés, mais parce qu’ils sont soustraits. Leur efficacité tient à leur retrait : ils ne circulent pas librement, ne se montrent pas à tous, ne se laissent pas approprier sans médiation. Maurice Godelier a montré, à propos de différents objets sacrés, que ce qui ne se donne pas peut fonder autant que ce qui circule. L’inappropriable devient alors opérateur de cohésion.</w:t>
      </w:r>
    </w:p>
    <w:p>
      <w:pPr>
        <w:pStyle w:val="BodyText"/>
        <w:rPr/>
      </w:pPr>
      <w:r>
        <w:rPr/>
        <w:t>Ce point est décisif : le sacral non étatique maintient l’ordre par séparation. Ce qui vaut ne se possède pas entièrement. Ce qui fonde ne se consomme pas. Ce qui oriente n’est pas toujours visible. Le retrait empêche la capture, et cette inappropriabilité devient une forme de régulation.</w:t>
      </w:r>
    </w:p>
    <w:p>
      <w:pPr>
        <w:pStyle w:val="BodyText"/>
        <w:rPr/>
      </w:pPr>
      <w:r>
        <w:rPr/>
        <w:t>Le masque constitue une autre figure de cette dissociation. Il ne se réduit pas à un accessoire rituel. En suspendant l’identité ordinaire de celui qui le porte, il fait apparaître une fonction qui excède la personne. Le porteur ne parle plus en son nom propre ; il devient relais d’une puissance, d’un ancêtre, d’un esprit, d’un rôle ou d’une mémoire. Le masque régule parce qu’il sépare l’individu de la fonction qu’il assume temporairement.</w:t>
      </w:r>
    </w:p>
    <w:p>
      <w:pPr>
        <w:pStyle w:val="BodyText"/>
        <w:rPr/>
      </w:pPr>
      <w:r>
        <w:rPr/>
        <w:t>Cette séparation limite l’appropriation personnelle du pouvoir. Celui qui porte le masque n’est pas propriétaire de la puissance qu’il manifeste. Il la supporte, l’actualise, puis la rend au dispositif rituel. Le pouvoir apparaît, agit, puis se retire. Le sacral non étatique organise ainsi une circulation contrôlée de la puissance, sans la fixer durablement dans une instance souveraine.</w:t>
      </w:r>
    </w:p>
    <w:p>
      <w:pPr>
        <w:pStyle w:val="BodyText"/>
        <w:rPr/>
      </w:pPr>
      <w:r>
        <w:rPr/>
        <w:t>Les figures médiatrices prolongent cette logique. Chamans, devins, intercesseurs, maîtres de rite ou figures hybrides n’agissent pas nécessairement comme chefs. Leur fonction consiste souvent à traduire, déplacer, relier, reformuler ou ouvrir une scène d’interprétation. Dans certains mondes amazoniens, tels que les a lus Viveiros de Castro, la médiation dépasse l’arbitrage entre positions humaines : elle fait varier les perspectives entre humains, non-humains, vivants, morts, esprits et territoires. La régulation y passe par transformation de la relation plutôt que par commandement direct.</w:t>
      </w:r>
    </w:p>
    <w:p>
      <w:pPr>
        <w:pStyle w:val="BodyText"/>
        <w:rPr/>
      </w:pPr>
      <w:r>
        <w:rPr/>
        <w:t>Les rites cycliques donnent à cette médiation une temporalité propre. La co-viabilité n’est pas stabilisée une fois pour toutes. Elle doit être rejouée. Les cérémonies périodiques, les initiations, les rituels de réparation, les fêtes saisonnières, les séquences de deuil ou les cérémonies de passage réactivent des formes qui empêchent les tensions de se figer. Le rite ne supprime pas la crise ; il lui donne un temps, un lieu, une forme.</w:t>
      </w:r>
    </w:p>
    <w:p>
      <w:pPr>
        <w:pStyle w:val="BodyText"/>
        <w:rPr/>
      </w:pPr>
      <w:r>
        <w:rPr/>
        <w:t>Victor Turner l’a montré à partir des rituels ndembu : certains dispositifs rituels visent la reconfiguration d’un champ relationnel, au-delà du traitement d’un conflit local. Le désordre est déplacé dans une scène symbolique où gestes, chants, objets et positions permettent de traiter la tension sans la réduire à une faute individuelle. La scène rituelle produit une reprise du lien.</w:t>
      </w:r>
    </w:p>
    <w:p>
      <w:pPr>
        <w:pStyle w:val="BodyText"/>
        <w:rPr/>
      </w:pPr>
      <w:r>
        <w:rPr/>
        <w:t>Les grandes cérémonies cycliques, comme certaines formes dogon de réactivation cosmologique et sociale, peuvent être lues dans cette même perspective. Elles conservent une tradition en la réactivant. Elles raccordent périodiquement les relations entre vivants, morts, ancêtres, territoire et ordre collectif. La stabilité ne vient pas de l’inertie ; elle vient de la reprise rituelle.</w:t>
      </w:r>
    </w:p>
    <w:p>
      <w:pPr>
        <w:pStyle w:val="BodyText"/>
        <w:rPr/>
      </w:pPr>
      <w:r>
        <w:rPr/>
        <w:t>La parole médiatisée constitue enfin une forme décisive du sacral non étatique. Dans certaines sociétés analysées par Pierre Clastres, le chef parle sans commander. Sa parole ne vaut pas comme décret. Elle maintient un espace d’adresse, reformule les tensions, rappelle des obligations, entretient une mémoire commune. Cette parole n’est pas impuissante ; elle est délibérément séparée du commandement.</w:t>
      </w:r>
    </w:p>
    <w:p>
      <w:pPr>
        <w:pStyle w:val="BodyText"/>
        <w:rPr/>
      </w:pPr>
      <w:r>
        <w:rPr/>
        <w:t>Les dispositifs divinatoires offrent une autre figure de cette médiation. L’Ifá yoruba, par exemple, n’instaure pas une décision immédiate au sens souverain. Il ouvre une scène d’interprétation où signes, récits, formules, spécialistes et destinataires composent un espace de réponse. La parole y est relayée, commentée, interprétée. Elle oriente sans se réduire à un ordre souverain. Elle introduit un différé, donc une possibilité de reprise.</w:t>
      </w:r>
    </w:p>
    <w:p>
      <w:pPr>
        <w:pStyle w:val="BodyText"/>
        <w:rPr/>
      </w:pPr>
      <w:r>
        <w:rPr/>
        <w:t>Le méta-régime sacral non étatique se définit ainsi par une forme singulière de tenue : l’ordre y procède de ce qui est différencié, retiré, médiatisé et rituellement réactivé. L’arcalité se distribue dans l’invisible, les ancêtres, les totems, les objets soustraits, les lieux séparés et les récits. La cratialité circule dans les gestes, les masques, les interdits, les rythmes, les paroles relayées et les positions rituelles. L’archicration prend la forme de scènes cycliques, de médiations interprétatives, de reprises cérémonielles ou de paroles capables de rouvrir le lien sans concentrer la décision.</w:t>
      </w:r>
    </w:p>
    <w:p>
      <w:pPr>
        <w:pStyle w:val="BodyText"/>
        <w:rPr/>
      </w:pPr>
      <w:r>
        <w:rPr/>
        <w:t>Ce méta-régime ne doit donc être compris ni comme un archaïsme, ni comme une religion incomplète, ni comme un prélude à l’État. Il montre qu’une société peut produire de la cohérence sans centraliser le commandement, distribuer l’autorité sans la rendre appropriable, traiter les tensions sans les convertir immédiatement en décision souveraine.</w:t>
      </w:r>
    </w:p>
    <w:p>
      <w:pPr>
        <w:pStyle w:val="BodyText"/>
        <w:rPr/>
      </w:pPr>
      <w:r>
        <w:rPr/>
        <w:t>Son risque propre tient à la fermeture du retrait. Ce qui est soustrait peut protéger contre la capture, mais aussi devenir intouchable. L’objet retiré peut fonder sans pouvoir être interrogé. Le rite peut réactiver, mais aussi immobiliser. La médiation peut ouvrir une scène, mais aussi réserver l’interprétation à quelques figures autorisées. Comme tout méta-régime, le sacral non étatique possède donc sa puissance de co-viabilité et ses formes de dégradation.</w:t>
      </w:r>
    </w:p>
    <w:p>
      <w:pPr>
        <w:pStyle w:val="BodyText"/>
        <w:rPr/>
      </w:pPr>
      <w:r>
        <w:rPr/>
        <w:t>Il demeure néanmoins irréductible. Son opérateur de validité n’est ni la loi, ni le prix, ni la preuve, ni la souveraineté, mais le sacré différencié. Son locus de scène n’est ni le tribunal, ni le marché, ni le laboratoire, mais le rite, le masque, l’objet retiré, le lieu séparé, la parole médiatrice. Sa temporalité n’est pas celle de la décision ou de l’archive, mais celle du retour rituel, de la réactivation cyclique et de la médiation différée.</w:t>
      </w:r>
    </w:p>
    <w:p>
      <w:pPr>
        <w:pStyle w:val="BodyText"/>
        <w:rPr/>
      </w:pPr>
      <w:r>
        <w:rPr/>
        <w:t>C’est pourquoi le sacral non étatique mérite son statut de méta-régime archicratique autonome. Il donne à voir une forme de co-viabilité où l’ordre ne s’impose pas depuis un centre ; il se maintient par la circulation réglée du visible et de l’invisible, du retrait et de la présence, de la puissance et de son inappropriabilité.</w:t>
      </w:r>
    </w:p>
    <w:p>
      <w:pPr>
        <w:pStyle w:val="Heading3"/>
        <w:numPr>
          <w:ilvl w:val="2"/>
          <w:numId w:val="2"/>
        </w:numPr>
        <w:rPr/>
      </w:pPr>
      <w:r>
        <w:rPr/>
        <w:t xml:space="preserve">2.2.3 — </w:t>
      </w:r>
      <w:r>
        <w:rPr>
          <w:i/>
          <w:iCs/>
        </w:rPr>
        <w:t>Le méta-régime archicratique</w:t>
      </w:r>
      <w:r>
        <w:rPr/>
        <w:t xml:space="preserve"> </w:t>
      </w:r>
      <w:r>
        <w:rPr>
          <w:i/>
          <w:iCs/>
        </w:rPr>
        <w:t>techno-logistique</w:t>
      </w:r>
    </w:p>
    <w:p>
      <w:pPr>
        <w:pStyle w:val="BodyText"/>
        <w:rPr/>
      </w:pPr>
      <w:r>
        <w:rPr>
          <w:b w:val="false"/>
          <w:bCs w:val="false"/>
        </w:rPr>
        <w:t xml:space="preserve">Dans plusieurs configurations de la fin du Néolithique et des premières formations urbaines, un seuil nouveau de complexité régulatrice devient lisible. </w:t>
      </w:r>
      <w:r>
        <w:rPr/>
        <w:t>La co-viabilité se déplace progressivement depuis la mémoire incorporée, le seuil rituel, le retrait sacral et la médiation cyclique vers des dispositifs durables capables d’articuler formes spatiales, flux matériels, tâches spécialisées, mesures, stocks et séquences opératoires.</w:t>
      </w:r>
    </w:p>
    <w:p>
      <w:pPr>
        <w:pStyle w:val="BodyText"/>
        <w:rPr/>
      </w:pPr>
      <w:r>
        <w:rPr>
          <w:b w:val="false"/>
          <w:bCs w:val="false"/>
        </w:rPr>
        <w:t>Le méta-régime archicratique techno-logistique désigne cette matrice de co-viabilité où l’ordre se maintient par la coordination fonctionnelle des agencements. Il ne s’agit pas encore de l’État au sens plein, avec souveraineté constituée, juridicité explicite et centralisation normative. I</w:t>
      </w:r>
      <w:r>
        <w:rPr/>
        <w:t>l ne s’agit pas davantage d’une technique de gestion au sens restreint.</w:t>
      </w:r>
      <w:r>
        <w:rPr>
          <w:b w:val="false"/>
          <w:bCs w:val="false"/>
        </w:rPr>
        <w:t xml:space="preserve"> Ce qui apparaît ici, c’est une forme d’ordre dans laquelle la compatibilité des lieux, des circulations, des efforts et des rythmes devient elle-même principe régulateur.</w:t>
      </w:r>
    </w:p>
    <w:p>
      <w:pPr>
        <w:pStyle w:val="BodyText"/>
        <w:rPr/>
      </w:pPr>
      <w:r>
        <w:rPr>
          <w:b w:val="false"/>
          <w:bCs w:val="false"/>
        </w:rPr>
        <w:t xml:space="preserve">La notion de mégamachine, élaborée par Lewis Mumford, permet de penser ce déplacement à condition de ne pas la réduire à une image spectaculaire. La mégamachine ne désigne pas une machine matérielle, mais une organisation sociale capable de synchroniser des populations élargies par l’agencement des architectures, des cadences, des tâches, des prélèvements, des stockages et des circuits. </w:t>
      </w:r>
      <w:r>
        <w:rPr/>
        <w:t>Ce qui change tient à l’échelle de l’organisation autant qu’au plan d’effectuation de la régulation.</w:t>
      </w:r>
      <w:r>
        <w:rPr>
          <w:b w:val="false"/>
          <w:bCs w:val="false"/>
        </w:rPr>
        <w:t xml:space="preserve"> </w:t>
      </w:r>
      <w:r>
        <w:rPr/>
        <w:t>La tenue collective dépend désormais davantage de la coordination des opérations que de la seule médiation rituelle, mythique ou symbolique.</w:t>
      </w:r>
    </w:p>
    <w:p>
      <w:pPr>
        <w:pStyle w:val="BodyText"/>
        <w:rPr>
          <w:b w:val="false"/>
          <w:bCs w:val="false"/>
        </w:rPr>
      </w:pPr>
      <w:r>
        <w:rPr>
          <w:b w:val="false"/>
          <w:bCs w:val="false"/>
        </w:rPr>
        <w:t>Les formes antérieures ne disparaissent pas. Le sacré demeure, les récits continuent d’orienter les usages, les rites accompagnent les seuils. Mais ils sont désormais repris dans une logique plus impersonnelle, plus spatialisée, plus séquentielle. L’ordre se matérialise dans la disposition des lieux, l’organisation des accès, la distribution des tâches, la continuité des flux et la répétition des opérations.</w:t>
      </w:r>
    </w:p>
    <w:p>
      <w:pPr>
        <w:pStyle w:val="BodyText"/>
        <w:rPr/>
      </w:pPr>
      <w:r>
        <w:rPr>
          <w:b w:val="false"/>
          <w:bCs w:val="false"/>
        </w:rPr>
        <w:t xml:space="preserve">C’est cette mutation que donnent à voir les premières configurations urbaines et logistiques de grande échelle. À Uruk, entre le IVᵉ et le IIIᵉ millénaire avant notre ère, </w:t>
      </w:r>
      <w:r>
        <w:rPr/>
        <w:t>les ensembles monumentaux, les espaces administratifs et les complexes cérémoniels excèdent l’expression symbolique.</w:t>
      </w:r>
      <w:r>
        <w:rPr>
          <w:b w:val="false"/>
          <w:bCs w:val="false"/>
        </w:rPr>
        <w:t xml:space="preserve"> Ils fixent des places, organisent des circulations, différencient des accès, distribuent des fonctions. Autour de l’Eanna, l’enchaînement des seuils, la hiérarchisation des volumes et la modulation des parcours produisent une régulation spatiale : franchir un espace, c’est déjà changer de position dans l’ordre collectif.</w:t>
      </w:r>
    </w:p>
    <w:p>
      <w:pPr>
        <w:pStyle w:val="BodyText"/>
        <w:rPr>
          <w:b w:val="false"/>
          <w:bCs w:val="false"/>
        </w:rPr>
      </w:pPr>
      <w:r>
        <w:rPr>
          <w:b w:val="false"/>
          <w:bCs w:val="false"/>
        </w:rPr>
        <w:t>La vallée de l’Indus offre une autre modalité de cette structuration. À Mohenjo-Daro, l’organisation des quartiers, la régularité des matériaux, les réseaux hydrauliques et les équipements collectifs indiquent une mise en ordre systémique où l’espace rend les usages compatibles. La régulation ne se présente pas d’abord comme commandement ; elle s’inscrit dans la prévisibilité des circulations, dans la stabilité des dispositifs et dans l’ajustement matériel des fonctions.</w:t>
      </w:r>
    </w:p>
    <w:p>
      <w:pPr>
        <w:pStyle w:val="BodyText"/>
        <w:rPr>
          <w:b w:val="false"/>
          <w:bCs w:val="false"/>
        </w:rPr>
      </w:pPr>
      <w:r>
        <w:rPr>
          <w:b w:val="false"/>
          <w:bCs w:val="false"/>
        </w:rPr>
        <w:t>Des configurations analogues peuvent être repérées en Égypte prédynastique, notamment dans la différenciation des zones d’activité, la monumentalisation progressive des enceintes ou l’organisation des complexes funéraires. Là encore, la prudence s’impose : il ne s’agit pas de ramener des mondes différents à un modèle unique. Mais une même logique morphologique devient lisible : l’ordre social s’inscrit dans la disposition des lieux avant de se formaliser comme norme explicite.</w:t>
      </w:r>
    </w:p>
    <w:p>
      <w:pPr>
        <w:pStyle w:val="BodyText"/>
        <w:rPr/>
      </w:pPr>
      <w:r>
        <w:rPr>
          <w:b w:val="false"/>
          <w:bCs w:val="false"/>
        </w:rPr>
        <w:t xml:space="preserve">Le techno-logistique se définit donc d’abord par une spatialisation opératoire de la co-viabilité. </w:t>
      </w:r>
      <w:r>
        <w:rPr/>
        <w:t>Les lieux cessent d’être uniquement habités, sacrés ou mémorisés : ils sont coordonnés.</w:t>
      </w:r>
      <w:r>
        <w:rPr>
          <w:b w:val="false"/>
          <w:bCs w:val="false"/>
        </w:rPr>
        <w:t xml:space="preserve"> Ils répartissent les fonctions, hiérarchisent les accès, canalisent les corps et rendent les actions compatibles à une échelle élargie.</w:t>
      </w:r>
    </w:p>
    <w:p>
      <w:pPr>
        <w:pStyle w:val="BodyText"/>
        <w:rPr/>
      </w:pPr>
      <w:r>
        <w:rPr>
          <w:b w:val="false"/>
          <w:bCs w:val="false"/>
        </w:rPr>
        <w:t xml:space="preserve">Mais l’espace ne suffit pas. La mégamachine est aussi une écologie politique des flux matériels. L’eau, le grain, l’huile, les réserves, les matériaux, les charges et les outils deviennent des opérateurs de structuration. </w:t>
      </w:r>
      <w:r>
        <w:rPr/>
        <w:t>Le silo, le canal, l’entrepôt, la pesée ou le dispositif de stockage participent directement à la tenue concrète du lien social.</w:t>
      </w:r>
    </w:p>
    <w:p>
      <w:pPr>
        <w:pStyle w:val="BodyText"/>
        <w:rPr/>
      </w:pPr>
      <w:r>
        <w:rPr>
          <w:b w:val="false"/>
          <w:bCs w:val="false"/>
        </w:rPr>
        <w:t xml:space="preserve">Tell Brak, Mari ou Lagash permettent d’approcher cette dimension. Les enceintes de stockage, les réseaux hydrauliques, les circuits de redistribution et les réserves organisées ne sont pas seulement des réponses pratiques à la rareté. Ils hiérarchisent les accès, répartissent les responsabilités, rendent les dépendances visibles et produisent des points de coordination. L’arcalité tend ici à se déposer dans l’infrastructure : </w:t>
      </w:r>
      <w:r>
        <w:rPr/>
        <w:t>ce qui fonde se dépose désormais dans des dispositifs qui rendent l’ordre praticable, au lieu de passer principalement par le récit ou le retrait sacral.</w:t>
      </w:r>
    </w:p>
    <w:p>
      <w:pPr>
        <w:pStyle w:val="BodyText"/>
        <w:rPr>
          <w:b w:val="false"/>
          <w:bCs w:val="false"/>
        </w:rPr>
      </w:pPr>
      <w:r>
        <w:rPr>
          <w:b w:val="false"/>
          <w:bCs w:val="false"/>
        </w:rPr>
        <w:t>La cratialité, quant à elle, se distribue dans l’affectation des efforts, la calibration des tâches, la segmentation des fonctions et la répétition des séquences productives. Les tablettes d’assignation, les inventaires, les quotas et les suivis de circulation, tels qu’on les voit à Nippur ou à Ebla, ne fondent pas encore un ordre juridique autonome. Ils rendent cependant les opérations suivables, comparables et ajustables. Ils donnent à la régulation une mémoire opératoire.</w:t>
      </w:r>
    </w:p>
    <w:p>
      <w:pPr>
        <w:pStyle w:val="BodyText"/>
        <w:rPr>
          <w:b w:val="false"/>
          <w:bCs w:val="false"/>
        </w:rPr>
      </w:pPr>
      <w:r>
        <w:rPr>
          <w:b w:val="false"/>
          <w:bCs w:val="false"/>
        </w:rPr>
        <w:t>C’est ici que la question de l’archicration doit être formulée avec précision. Dans le méta-régime techno-logistique, l’épreuve ne prend pas encore la forme d’un recours, d’un débat ou d’une scène contradictoire. Elle apparaît plutôt sous une forme minimale : possibilité de suivre, de transmettre, de corriger, de réaffecter, de reprendre une opération. La scène n’est pas celle d’une dispute instituée ; elle est celle d’une traçabilité opératoire. La reprise se loge dans la continuité du circuit.</w:t>
      </w:r>
    </w:p>
    <w:p>
      <w:pPr>
        <w:pStyle w:val="BodyText"/>
        <w:rPr/>
      </w:pPr>
      <w:r>
        <w:rPr>
          <w:b w:val="false"/>
          <w:bCs w:val="false"/>
        </w:rPr>
        <w:t xml:space="preserve">Cette mutation devient plus nette avec les premiers supports de comptabilité et de mesure. </w:t>
      </w:r>
      <w:r>
        <w:rPr/>
        <w:t>Les tablettes proto-cunéiformes d’Uruk IV, les sceaux, les marques, les unités de capacité et de poids excèdent l’instrumentation technique.</w:t>
      </w:r>
      <w:r>
        <w:rPr>
          <w:b w:val="false"/>
          <w:bCs w:val="false"/>
        </w:rPr>
        <w:t xml:space="preserve"> Ils déplacent la régulation vers des supports capables de stabiliser l’absence, de conserver une opération, de comparer des quantités et de rendre des flux compatibles. </w:t>
      </w:r>
      <w:r>
        <w:rPr/>
        <w:t>La mémoire quitte progressivement ses supports oraux, rituels ou incorporés ; elle devient inscrite, comptée, transportable, consultable.</w:t>
      </w:r>
    </w:p>
    <w:p>
      <w:pPr>
        <w:pStyle w:val="BodyText"/>
        <w:rPr>
          <w:b w:val="false"/>
          <w:bCs w:val="false"/>
        </w:rPr>
      </w:pPr>
      <w:r>
        <w:rPr>
          <w:b w:val="false"/>
          <w:bCs w:val="false"/>
        </w:rPr>
        <w:t>Ce point marque le seuil entre le techno-logistique et le scripturo-normatif. Dans le techno-logistique, l’écriture ou la proto-écriture sert encore principalement la coordination des flux. Elle suit, compte, affecte, stabilise. Elle ne constitue pas encore, en tant que telle, une normativité autonome. C’est lorsque la trace devient règle, procédure, preuve ou autorité différée que l’on franchira le seuil du méta-régime suivant.</w:t>
      </w:r>
    </w:p>
    <w:p>
      <w:pPr>
        <w:pStyle w:val="BodyText"/>
        <w:rPr>
          <w:b w:val="false"/>
          <w:bCs w:val="false"/>
        </w:rPr>
      </w:pPr>
      <w:r>
        <w:rPr>
          <w:b w:val="false"/>
          <w:bCs w:val="false"/>
        </w:rPr>
        <w:t>Le temps lui-même se transforme. Les calendriers associés aux récoltes, aux prélèvements, aux tournées, aux périodes de stockage ou aux mobilisations de travail ne se limitent pas à accompagner les rythmes cosmiques ou saisonniers. Ils organisent des séquences opératoires. Ils répartissent les charges, rendent prévisibles les efforts, coordonnent les attentes. Le temps techno-logistique devient cadence, échéance, programmation, répétition utile.</w:t>
      </w:r>
    </w:p>
    <w:p>
      <w:pPr>
        <w:pStyle w:val="BodyText"/>
        <w:rPr/>
      </w:pPr>
      <w:r>
        <w:rPr/>
        <w:t>Cette régulation par séquences engage aussi les corps. Les gestes répétés, l’endurance, la fatigue, les seuils de tolérance et les rythmes imposés montrent que la coordination techno-logistique s’incorpore dans les corps qui la rendent possible. Il ne s’agit pas d’un méta-régime autonome, mais d’un pli interne du techno-logistique.</w:t>
      </w:r>
      <w:r>
        <w:rPr>
          <w:b w:val="false"/>
          <w:bCs w:val="false"/>
        </w:rPr>
        <w:t xml:space="preserve"> La norme se manifeste dans ce que l’organisation exige des corps pour tenir ses flux.</w:t>
      </w:r>
    </w:p>
    <w:p>
      <w:pPr>
        <w:pStyle w:val="BodyText"/>
        <w:rPr>
          <w:b w:val="false"/>
          <w:bCs w:val="false"/>
        </w:rPr>
      </w:pPr>
      <w:r>
        <w:rPr>
          <w:b w:val="false"/>
          <w:bCs w:val="false"/>
        </w:rPr>
        <w:t>Ce méta-régime ne se limite pas aux bassins mésopotamiens ou à la vallée de l’Indus. Sa plasticité tient à ce qu’il peut émerger dans des contextes écologiques et symboliques très différents, dès lors qu’un collectif stabilise sa co-viabilité par l’agencement durable des formes, des flux et des fonctions.</w:t>
      </w:r>
    </w:p>
    <w:p>
      <w:pPr>
        <w:pStyle w:val="BodyText"/>
        <w:rPr>
          <w:b w:val="false"/>
          <w:bCs w:val="false"/>
        </w:rPr>
      </w:pPr>
      <w:r>
        <w:rPr>
          <w:b w:val="false"/>
          <w:bCs w:val="false"/>
        </w:rPr>
        <w:t>Caral-Supe, au Pérou, en offre une variation remarquable. Dans ce complexe côtier pré-céramique, sans écriture attestée ni appareil coercitif centralisé évident, l’organisation de pyramides, de terrasses, d’amphithéâtres, d’espaces cérémoniels et de structures de stockage montre qu’une coordination de grande échelle peut s’opérer par la forme bâtie, la circulation des ressources et la synchronisation territoriale. La monumentalité ne prouve pas à elle seule un État ; elle rend visible une co-viabilité organisée par l’espace, l’effort et la répétition cérémonielle.</w:t>
      </w:r>
    </w:p>
    <w:p>
      <w:pPr>
        <w:pStyle w:val="BodyText"/>
        <w:rPr/>
      </w:pPr>
      <w:r>
        <w:rPr>
          <w:b w:val="false"/>
          <w:bCs w:val="false"/>
        </w:rPr>
        <w:t xml:space="preserve">Sanxingdui, dans le Sichuan, offre une autre déclinaison. La production du bronze, les chaînes opératoires spécialisées, l’accumulation rituelle et l’enfouissement différencié des objets composent une régulation où la cohérence collective passe par la coordination de procédés, de retraits, de productions et de mises en scène matérielles. </w:t>
      </w:r>
      <w:r>
        <w:rPr/>
        <w:t>Là encore, l’ordre se tient dans l’agencement des séquences autant que dans les formes qui le proclament.</w:t>
      </w:r>
    </w:p>
    <w:p>
      <w:pPr>
        <w:pStyle w:val="BodyText"/>
        <w:rPr>
          <w:b w:val="false"/>
          <w:bCs w:val="false"/>
        </w:rPr>
      </w:pPr>
      <w:r>
        <w:rPr>
          <w:b w:val="false"/>
          <w:bCs w:val="false"/>
        </w:rPr>
        <w:t>Ces cas n’ont pas pour fonction d’étendre indéfiniment le domaine de la mégamachine. Ils servent à montrer que le techno-logistique n’est ni un modèle mésopotamien unique, ni une simple étape vers l’État. Il désigne un méta-régime archicratique autonome, dès lors que la co-viabilité repose principalement sur la compatibilité des formes, des flux, des mesures, des efforts et des rythmes.</w:t>
      </w:r>
    </w:p>
    <w:p>
      <w:pPr>
        <w:pStyle w:val="BodyText"/>
        <w:rPr>
          <w:b w:val="false"/>
          <w:bCs w:val="false"/>
        </w:rPr>
      </w:pPr>
      <w:r>
        <w:rPr>
          <w:b w:val="false"/>
          <w:bCs w:val="false"/>
        </w:rPr>
        <w:t>Son opérateur de validité n’est ni l’ancêtre, ni le totem, ni la révélation, ni la loi, mais la coordination fonctionnelle elle-même : ce qui vaut est ce qui permet à l’ensemble de tenir, de circuler, de stocker, de répartir et de se reproduire. Son locus de scène n’est pas d’abord la grotte, le masque, le rite ou le tribunal, mais le chantier, le canal, le silo, l’entrepôt, le palais, le registre de flux, l’atelier, le calendrier opératoire. Sa temporalité n’est pas celle du seul retour rituel ; elle est celle de la cadence, de la séquence, de l’affectation, de l’échéance et de la reproduction matérielle.</w:t>
      </w:r>
    </w:p>
    <w:p>
      <w:pPr>
        <w:pStyle w:val="BodyText"/>
        <w:rPr>
          <w:b w:val="false"/>
          <w:bCs w:val="false"/>
        </w:rPr>
      </w:pPr>
      <w:r>
        <w:rPr>
          <w:b w:val="false"/>
          <w:bCs w:val="false"/>
        </w:rPr>
        <w:t>Le risque propre du techno-logistique tient à son impersonnalité. Parce qu’il régule par compatibilité des opérations, il peut absorber les tensions sans les représenter. Il peut faire tenir un monde sans lui donner de scène explicite. Il peut distribuer les corps, les tâches et les ressources sans que ceux qui y prennent part puissent identifier clairement ce qui fonde l’ordre ou comment le contester. Sa force de coordination est aussi son risque de désymbolisation et d’inassignabilité.</w:t>
      </w:r>
    </w:p>
    <w:p>
      <w:pPr>
        <w:pStyle w:val="BodyText"/>
        <w:rPr>
          <w:b w:val="false"/>
          <w:bCs w:val="false"/>
        </w:rPr>
      </w:pPr>
      <w:r>
        <w:rPr>
          <w:b w:val="false"/>
          <w:bCs w:val="false"/>
        </w:rPr>
        <w:t>C’est pourquoi le méta-régime techno-logistique doit être compris sans fascination technicienne. Il n’est ni un simple progrès organisationnel, ni une froide administration avant l’heure, ni une étape naturelle vers l’État. Il révèle une possibilité plus fondamentale : des collectifs peuvent tenir ensemble par l’efficacité coordonnée de leurs agencements, par la compatibilité de leurs flux et par la répétition réglée de leurs opérations.</w:t>
      </w:r>
    </w:p>
    <w:p>
      <w:pPr>
        <w:pStyle w:val="BodyText"/>
        <w:rPr>
          <w:b w:val="false"/>
          <w:bCs w:val="false"/>
        </w:rPr>
      </w:pPr>
      <w:r>
        <w:rPr>
          <w:b w:val="false"/>
          <w:bCs w:val="false"/>
        </w:rPr>
        <w:t>Cette forme est irréductible. Elle montre que la co-viabilité peut se déplacer du rite vers le circuit, du seuil sacral vers l’infrastructure, de la mémoire incorporée vers la trace opératoire. Elle ouvre ainsi sur le méta-régime suivant : celui où la trace cesse de seulement suivre les opérations pour devenir norme, procédure, archive et autorité différée.</w:t>
      </w:r>
    </w:p>
    <w:p>
      <w:pPr>
        <w:pStyle w:val="Heading3"/>
        <w:numPr>
          <w:ilvl w:val="2"/>
          <w:numId w:val="2"/>
        </w:numPr>
        <w:rPr/>
      </w:pPr>
      <w:r>
        <w:rPr/>
        <w:t>2.2.4 —</w:t>
      </w:r>
      <w:r>
        <w:rPr>
          <w:i/>
          <w:iCs/>
        </w:rPr>
        <w:t xml:space="preserve"> Le méta-régime archicratique scripturo-normatif</w:t>
      </w:r>
    </w:p>
    <w:p>
      <w:pPr>
        <w:pStyle w:val="BodyText"/>
        <w:rPr/>
      </w:pPr>
      <w:r>
        <w:rPr/>
        <w:t>Avec le méta-régime techno-logistique, la co-viabilité s’organisait par la coordination des flux, des tâches, des stocks, des mesures et des séquences. La trace y servait déjà à suivre, compter, affecter, mémoriser et rendre compatibles des opérations. Mais un seuil nouveau est franchi lorsque l’inscription dépasse l’accompagnement de la coordination matérielle : elle devient support d’obligation, de preuve, de reconnaissance et de référence.</w:t>
      </w:r>
    </w:p>
    <w:p>
      <w:pPr>
        <w:pStyle w:val="BodyText"/>
        <w:rPr/>
      </w:pPr>
      <w:r>
        <w:rPr/>
        <w:t>Le méta-régime archicratique scripturo-normatif désigne cette configuration où l’écrit dépasse l’enregistrement de ce qui circule ou de ce qui a été fait, pour stabiliser ce qui vaut, ce qui doit être reconnu, ce qui peut être exigé, invoqué ou contesté. La règle, le contrat, le registre, la clause, la liste, le sceau, le duplicata et l’archive deviennent des prises régulatrices. L’ordre peut désormais survivre à la présence de celui qui l’énonce. Il peut être conservé, transporté, recopié, confronté à d’autres inscriptions et réactivé dans un différend.</w:t>
      </w:r>
    </w:p>
    <w:p>
      <w:pPr>
        <w:pStyle w:val="BodyText"/>
        <w:rPr/>
      </w:pPr>
      <w:r>
        <w:rPr/>
        <w:t>La distinction avec le techno-logistique est décisive. Dans le techno-logistique, la trace suit et coordonne les opérations. Dans le scripturo-normatif, la trace devient référence opposable. Sa fonction excède la compatibilité des flux : elle rend les obligations formulables, les statuts attestables, les différends traitables et les décisions justifiables dans un champ documentaire.</w:t>
      </w:r>
    </w:p>
    <w:p>
      <w:pPr>
        <w:pStyle w:val="BodyText"/>
        <w:rPr/>
      </w:pPr>
      <w:r>
        <w:rPr/>
        <w:t>Cette mutation ne doit pas être comprise comme l’apparition soudaine du droit au sens moderne. Il faut éviter toute lecture téléologique qui ferait des premiers codes, contrats ou registres le prélude linéaire de la juridicité contemporaine. Les formes anciennes d’écriture normative restent prises dans des mondes rituels, administratifs, économiques, dynastiques et sacrés. Mais elles introduisent une puissance nouvelle : la capacité de détacher une obligation de la parole immédiate et de l’inscrire dans une forme consultable, transmissible et réactivable.</w:t>
      </w:r>
    </w:p>
    <w:p>
      <w:pPr>
        <w:pStyle w:val="BodyText"/>
        <w:rPr/>
      </w:pPr>
      <w:r>
        <w:rPr/>
        <w:t>Jack Goody a montré que l’écriture transforme la mémoire sociale en l’externalisant. Cette externalisation n’est pas seulement cognitive. Elle est régulatrice. Une obligation écrite peut être conservée hors des corps, hors de la voix, hors de la scène première. Elle peut être classée, copiée, produite devant témoins, comparée à d’autres inscriptions, mobilisée plus tard. La mémoire devient support d’action.</w:t>
      </w:r>
    </w:p>
    <w:p>
      <w:pPr>
        <w:pStyle w:val="BodyText"/>
        <w:rPr/>
      </w:pPr>
      <w:r>
        <w:rPr/>
        <w:t>L’arcalité se recompose alors autour des listes, généalogies, catégories, clauses, formules, précédents et registres qui donnent aux places sociales une consistance documentaire. Ce qui fonde n’est plus seulement transmis par récit, rite ou présence ; il peut être formulé dans une inscription reconnue. La cratialité passe par la capacité de produire, conserver, lire, activer et faire valoir ces inscriptions. Quant à l’archicration, elle se déplace vers les scènes où les documents sont confrontés, interprétés, validés, corrigés ou opposés dans le traitement des situations concrètes.</w:t>
      </w:r>
    </w:p>
    <w:p>
      <w:pPr>
        <w:pStyle w:val="BodyText"/>
        <w:rPr/>
      </w:pPr>
      <w:r>
        <w:rPr/>
        <w:t>Les premières grandes formes de normativité documentaire et d’archivage scriptural en Mésopotamie donnent à voir cette mutation. À Lagash, à Ur et dans plusieurs cités du IIIᵉ millénaire avant notre ère, l’inscription ne sert plus seulement à compter des biens ou assigner des tâches. Elle commence à formuler des obligations, des statuts, des décisions, des transferts, des contrats, des réparations ou des conditions d’action.</w:t>
      </w:r>
    </w:p>
    <w:p>
      <w:pPr>
        <w:pStyle w:val="BodyText"/>
        <w:rPr/>
      </w:pPr>
      <w:r>
        <w:rPr/>
        <w:t>Le code d’Ur-Nammu marque à cet égard un seuil important. Il ne doit pas être lu comme un code moderne, ni comme une constitution primitive. Son importance tient plutôt à la stabilisation de formules conditionnelles : si tel cas se produit, telle conséquence doit suivre. L’écrit introduit ainsi une comparabilité des situations. Il rend possible une normativité détachée de l’événement immédiat, susceptible d’être conservée, transmise et invoquée.</w:t>
      </w:r>
    </w:p>
    <w:p>
      <w:pPr>
        <w:pStyle w:val="BodyText"/>
        <w:rPr/>
      </w:pPr>
      <w:r>
        <w:rPr/>
        <w:t>Les scribes jouent ici un rôle décisif. Ils ne gouvernent pas nécessairement au sens souverain du terme, mais ils rendent possible l’activation des normes. Ils stabilisent les formules, recopient les actes, vérifient les clauses, conservent les traces, authentifient les supports. Leur pouvoir tient moins à une autorité personnelle qu’à leur position dans une chaîne de validation scripturale. L’écriture ne supprime donc pas les hiérarchies ; elle les reconfigure autour de l’accès à la production et à l’interprétation des formes écrites.</w:t>
      </w:r>
    </w:p>
    <w:p>
      <w:pPr>
        <w:pStyle w:val="BodyText"/>
        <w:rPr/>
      </w:pPr>
      <w:r>
        <w:rPr/>
        <w:t>Les archives palatiales, notamment à Mari, montrent que les tablettes ne forment pas une mémoire inerte. Elles constituent une infrastructure active de régulation. Classées, conservées, relues, confrontées et réactivées, elles permettent à un pouvoir, à une administration ou à un groupe d’acteurs de maintenir une continuité de décision au-delà des situations immédiates. L’archive excède le dépôt : elle devient réserve d’autorité différée.</w:t>
      </w:r>
    </w:p>
    <w:p>
      <w:pPr>
        <w:pStyle w:val="BodyText"/>
        <w:rPr/>
      </w:pPr>
      <w:r>
        <w:rPr/>
        <w:t>Les contrats de Larsa, Sippar ou Eshnunna confirment cette plasticité. Les clauses peuvent être relativement stabilisées, mais leur activation dépend des contextes, des témoins, des copies, des sceaux, des suppressions, des annotations et des lectures situées. L’écriture ne dicte pas mécaniquement la décision. Elle rend possible un champ d’arbitrage où des inscriptions sont convoquées, hiérarchisées et rendues opératoires dans un cas donné.</w:t>
      </w:r>
    </w:p>
    <w:p>
      <w:pPr>
        <w:pStyle w:val="BodyText"/>
        <w:rPr/>
      </w:pPr>
      <w:r>
        <w:rPr/>
        <w:t>La normativité scripturale repose donc sur des structures concrètes : formules conditionnelles, listes de parties, clauses typées, registres d’identification, séquences de validation, témoins, sceaux, duplicata, lieux de conservation. Il ne s’agit pas d’un code figé, mais d’une grammaire documentaire. Elle rend les situations comparables, les obligations formulables, les positions attestables et les différends traitables.</w:t>
      </w:r>
    </w:p>
    <w:p>
      <w:pPr>
        <w:pStyle w:val="BodyText"/>
        <w:rPr/>
      </w:pPr>
      <w:r>
        <w:rPr/>
        <w:t>Cette grammaire ne se limite pas à la Mésopotamie. L’Égypte pharaonique, avec ses registres fiscaux, ses décrets, ses titres, ses procédures administratives et ses chaînes de reconnaissance documentaire, manifeste elle aussi une scripturalité régulatrice. Les formes y sont plus centralisées et différemment articulées au sacré royal, mais l’effet morphologique est comparable : l’écrit stabilise des obligations, atteste des positions et permet une activation différée de l’ordre.</w:t>
      </w:r>
    </w:p>
    <w:p>
      <w:pPr>
        <w:pStyle w:val="BodyText"/>
        <w:rPr/>
      </w:pPr>
      <w:r>
        <w:rPr/>
        <w:t>La scripturo-fiscalité en constitue l’une des expressions les plus fortes. Listes de redevances, registres de tribut, comptes de grain, tablettes d’imposition, cadastres et inventaires rendent les obligations lisibles, calculables et périodiquement réactivables. La dette, la charge ou le prélèvement échappent à la seule mémoire locale ou à la présence immédiate. Ils peuvent être inscrits, vérifiés, reconduits, contestés parfois, ou ajustés lorsque des procédures de remise, de report ou de requalification existent.</w:t>
      </w:r>
    </w:p>
    <w:p>
      <w:pPr>
        <w:pStyle w:val="BodyText"/>
        <w:rPr/>
      </w:pPr>
      <w:r>
        <w:rPr/>
        <w:t>La scène d’épreuve devient alors principalement documentaire. Elle n’est pas encore, le plus souvent, une arène publique de discussion. Elle se loge dans l’espace où l’inscription peut être produite, reconnue, confrontée à d’autres traces, rectifiée ou activée. Le différend devient traitable parce qu’il peut être rapporté à des supports stabilisés : contrat, sceau, tablette antérieure, duplicata, témoin inscrit, clause, registre.</w:t>
      </w:r>
    </w:p>
    <w:p>
      <w:pPr>
        <w:pStyle w:val="BodyText"/>
        <w:rPr/>
      </w:pPr>
      <w:r>
        <w:rPr/>
        <w:t>Cette dimension est décisive pour l’archicration. Dans le scripturo-normatif, l’épreuve n’est pas d’abord celle d’un débat ouvert ; elle est celle de la confrontation documentaire. Une obligation peut être discutée parce qu’elle a laissé une trace. Un statut peut être reconnu parce qu’il est attesté. Une dette peut être contestée parce qu’un support permet d’en vérifier les termes. La reprise dépend donc de l’accès aux documents, aux lecteurs, aux scribes, aux archives et aux formes de validation reconnues.</w:t>
      </w:r>
    </w:p>
    <w:p>
      <w:pPr>
        <w:pStyle w:val="BodyText"/>
        <w:rPr/>
      </w:pPr>
      <w:r>
        <w:rPr/>
        <w:t>C’est aussi là que se manifeste le risque propre du méta-régime. L’écriture rend opposable, mais elle sélectionne. Tous n’ont pas le même accès à l’inscription, à la lecture, à la copie, à la conservation ou à la production d’une preuve. Certains sujets n’apparaissent dans les documents qu’à travers des représentants, des garants, des maîtres, des lignages ou des intercesseurs. La normativité scripturale produit donc de la visibilité, mais aussi de l’asymétrie. Elle reconnaît certains liens en en rendant d’autres dépendants d’une médiation.</w:t>
      </w:r>
    </w:p>
    <w:p>
      <w:pPr>
        <w:pStyle w:val="BodyText"/>
        <w:rPr/>
      </w:pPr>
      <w:r>
        <w:rPr/>
        <w:t>La matérialité des supports participe elle-même de cette asymétrie. Tablettes, sceaux, enveloppes, inscriptions monumentales, registres, copies ou documents scellés ne valent pas de la même manière. Certains supports exposent, d’autres conservent, d’autres authentifient, d’autres retirent. Le lieu de conservation, la possibilité de copie, la visibilité de l’inscription et la reconnaissance du support font partie de l’autorité documentaire. L’écrit n’est jamais un pur contenu ; il est une forme matérielle de validité.</w:t>
      </w:r>
    </w:p>
    <w:p>
      <w:pPr>
        <w:pStyle w:val="BodyText"/>
        <w:rPr/>
      </w:pPr>
      <w:r>
        <w:rPr/>
        <w:t>Le méta-régime scripturo-normatif introduit ainsi une mutation décisive dans l’histoire des régulations. L’ordre peut être formulé, conservé, invoqué et opposé au-delà de la présence de ceux qui l’ont énoncé. L’écriture devient une infrastructure de validité. Elle permet de stabiliser des obligations, de transmettre des statuts, de traiter des différends, de reconduire des dettes, de comparer des cas et d’organiser une mémoire opératoire du droit, de l’administration et de la reconnaissance.</w:t>
      </w:r>
    </w:p>
    <w:p>
      <w:pPr>
        <w:pStyle w:val="BodyText"/>
        <w:rPr/>
      </w:pPr>
      <w:r>
        <w:rPr/>
        <w:t>Mais cette puissance ne doit pas être idéalisée. La norme écrite ne supprime ni l’interprétation, ni le conflit, ni l’inégalité. Elle les reconfigure. Elle produit un espace où la co-viabilité dépend de chaînes documentaires : qui peut écrire ? qui peut conserver ? qui peut lire ? qui peut faire valoir ? qui peut contester ? qui peut obtenir copie, témoin, sceau ou rectification ?</w:t>
      </w:r>
    </w:p>
    <w:p>
      <w:pPr>
        <w:pStyle w:val="BodyText"/>
        <w:rPr/>
      </w:pPr>
      <w:r>
        <w:rPr/>
        <w:t>Son opérateur de validité est donc la trace reconnue : règle inscrite, clause, archive, contrat, registre, sceau, document. Son locus de scène est l’espace documentaire où ces traces sont produites, conservées, confrontées et activées : bureau scribal, archive, tribunal, palais, dépôt, table de transaction, lieu de validation. Sa temporalité est celle du différé documentaire : conservation, consultation, duplication, réactivation, échéance, prescription, rappel et rectification.</w:t>
      </w:r>
    </w:p>
    <w:p>
      <w:pPr>
        <w:pStyle w:val="BodyText"/>
        <w:rPr/>
      </w:pPr>
      <w:r>
        <w:rPr/>
        <w:t>Ce méta-régime mérite son autonomie parce qu’il ne se réduit ni à la coordination des flux, ni à la médiation sacrale, ni à l’institution politique explicite. Il donne à la co-viabilité une forme nouvelle : une grammaire documentaire de l’obligation, de la preuve et de la reconnaissance. Le collectif tient désormais par ce qui se voit, se fait et se répète, mais aussi par ce qui peut être écrit, conservé, invoqué et repris.</w:t>
      </w:r>
    </w:p>
    <w:p>
      <w:pPr>
        <w:pStyle w:val="BodyText"/>
        <w:rPr/>
      </w:pPr>
      <w:r>
        <w:rPr/>
        <w:t>Cette stabilité documentaire ouvre cependant un autre seuil. Lorsque l’écriture ne se contente plus de fixer des obligations, mais inscrit la norme dans un ordre du monde, dans une cosmologie, dans une correspondance entre ciel, terre, calendrier, corps social et pouvoir, elle donne naissance à une autre configuration : le méta-régime archicratique scripturo-cosmologique.</w:t>
      </w:r>
    </w:p>
    <w:p>
      <w:pPr>
        <w:pStyle w:val="Heading3"/>
        <w:numPr>
          <w:ilvl w:val="2"/>
          <w:numId w:val="2"/>
        </w:numPr>
        <w:rPr/>
      </w:pPr>
      <w:r>
        <w:rPr/>
        <w:t xml:space="preserve">2.2.5 — </w:t>
      </w:r>
      <w:r>
        <w:rPr>
          <w:i/>
          <w:iCs/>
        </w:rPr>
        <w:t>Le méta-régime archicratique scripturo-cosmologique</w:t>
      </w:r>
    </w:p>
    <w:p>
      <w:pPr>
        <w:pStyle w:val="BodyText"/>
        <w:rPr>
          <w:b w:val="false"/>
          <w:bCs w:val="false"/>
        </w:rPr>
      </w:pPr>
      <w:r>
        <w:rPr>
          <w:b w:val="false"/>
          <w:bCs w:val="false"/>
        </w:rPr>
        <w:t>Le méta-régime scripturo-normatif a montré comment l’écriture peut devenir support d’obligation, de preuve, de reconnaissance et de référence. Mais toutes les régulations par l’écrit ne relèvent pas de cette logique documentaire. Il existe des configurations dans lesquelles l’inscription ne vaut pas d’abord comme clause, contrat, registre ou règle opposable, mais comme figuration d’un ordre du monde.</w:t>
      </w:r>
    </w:p>
    <w:p>
      <w:pPr>
        <w:pStyle w:val="BodyText"/>
        <w:rPr/>
      </w:pPr>
      <w:r>
        <w:rPr>
          <w:b w:val="false"/>
          <w:bCs w:val="false"/>
        </w:rPr>
        <w:t xml:space="preserve">Le méta-régime archicratique scripturo-cosmologique désigne cette forme de co-viabilité où l’écriture stabilise une correspondance entre l’ordre cosmique et l’ordre humain. La norme n’y procède pas principalement d’un sujet énonciateur, d’un code juridique ou d’une révélation divine. Elle vient de la reconnaissance d’une structure du monde tenue pour intelligible, hiérarchisée et réglée. </w:t>
      </w:r>
      <w:r>
        <w:rPr/>
        <w:t>Le texte peut prescrire des gestes, des dates ou des orientations ; sa puissance de validité tient surtout à sa capacité de rendre lisible l’agencement auquel les conduites doivent s’accorder.</w:t>
      </w:r>
    </w:p>
    <w:p>
      <w:pPr>
        <w:pStyle w:val="BodyText"/>
        <w:rPr/>
      </w:pPr>
      <w:r>
        <w:rPr>
          <w:b w:val="false"/>
          <w:bCs w:val="false"/>
        </w:rPr>
        <w:t xml:space="preserve">La différence avec le scripturo-normatif est donc décisive. Dans le scripturo-normatif, l’écrit stabilise des obligations, des statuts, des contrats ou des procédures. Dans le scripturo-cosmologique, il stabilise une topologie du monde : correspondances entre ciel et terre, cycles, orientations, seuils, saisons, figures divines, lieux, corps et pouvoir. </w:t>
      </w:r>
      <w:r>
        <w:rPr/>
        <w:t>L’écriture cesse d’être une mémoire documentaire pour devenir support d’alignement.</w:t>
      </w:r>
    </w:p>
    <w:p>
      <w:pPr>
        <w:pStyle w:val="BodyText"/>
        <w:rPr>
          <w:b w:val="false"/>
          <w:bCs w:val="false"/>
        </w:rPr>
      </w:pPr>
      <w:r>
        <w:rPr>
          <w:b w:val="false"/>
          <w:bCs w:val="false"/>
        </w:rPr>
        <w:t>Cette configuration ne doit pas être confondue avec le théologique. Dans le théologique, l’obligation procède d’une parole tenue pour transcendante, révélée ou divinement fondatrice. Dans le scripturo-cosmologique, le texte ne fonde pas d’abord parce qu’il transmet un commandement supérieur ; il vaut parce qu’il figure un ordre du monde réputé déjà là. Là où le théologique oblige par la source de la parole, le scripturo-cosmologique oblige par ajustement à la structure.</w:t>
      </w:r>
    </w:p>
    <w:p>
      <w:pPr>
        <w:pStyle w:val="BodyText"/>
        <w:rPr/>
      </w:pPr>
      <w:r>
        <w:rPr>
          <w:b w:val="false"/>
          <w:bCs w:val="false"/>
        </w:rPr>
        <w:t xml:space="preserve">Les grands corpus astronomiques et cosmographiques mésopotamiens permettent d’approcher cette logique. Le MUL.APIN, composé dans le Ier millénaire avant notre ère à partir de traditions plus anciennes, </w:t>
      </w:r>
      <w:r>
        <w:rPr>
          <w:b w:val="false"/>
          <w:bCs w:val="false"/>
        </w:rPr>
        <w:t>excède</w:t>
      </w:r>
      <w:r>
        <w:rPr/>
        <w:t xml:space="preserve"> le calcul astronomique.</w:t>
      </w:r>
      <w:r>
        <w:rPr>
          <w:b w:val="false"/>
          <w:bCs w:val="false"/>
        </w:rPr>
        <w:t xml:space="preserve"> Il articule constellations, saisons, phénomènes météorologiques, repères calendaires et cycles agraires. </w:t>
      </w:r>
      <w:r>
        <w:rPr/>
        <w:t xml:space="preserve">Sa fonction </w:t>
      </w:r>
      <w:r>
        <w:rPr/>
        <w:t>dépasse</w:t>
      </w:r>
      <w:r>
        <w:rPr/>
        <w:t xml:space="preserve"> la prévision : elle rend le monde lisible comme ordre de correspondances.</w:t>
      </w:r>
      <w:r>
        <w:rPr>
          <w:b w:val="false"/>
          <w:bCs w:val="false"/>
        </w:rPr>
        <w:t xml:space="preserve"> Dates rituelles, repères agricoles, observations célestes et rythmes collectifs peuvent alors être ajustés les uns aux autres.</w:t>
      </w:r>
    </w:p>
    <w:p>
      <w:pPr>
        <w:pStyle w:val="BodyText"/>
        <w:rPr>
          <w:b w:val="false"/>
          <w:bCs w:val="false"/>
        </w:rPr>
      </w:pPr>
      <w:r>
        <w:rPr>
          <w:b w:val="false"/>
          <w:bCs w:val="false"/>
        </w:rPr>
        <w:t>Dans une telle configuration, le désordre n’apparaît pas d’abord comme violation d’un article ou désobéissance à un commandement. Il apparaît comme désalignement. Un geste mal situé, un rite mal accordé, une date mal choisie ou une séquence mal ordonnée peuvent être perçus comme rupture de correspondance entre le monde humain et l’ordre cosmique. La régulation ne punit pas d’abord ; elle signale un écart et appelle une resynchronisation.</w:t>
      </w:r>
    </w:p>
    <w:p>
      <w:pPr>
        <w:pStyle w:val="BodyText"/>
        <w:rPr/>
      </w:pPr>
      <w:r>
        <w:rPr>
          <w:b w:val="false"/>
          <w:bCs w:val="false"/>
        </w:rPr>
        <w:t xml:space="preserve">L’Égypte ancienne donne à voir une autre forme de cette logique. Le Livre des morts ne se présente pas comme un code de lois. Il déploie une cartographie du passage, des seuils, des formules et des épreuves posthumes. Le chapitre 125, consacré à la pesée du cœur, ne peut être réduit à une scène judiciaire au sens moderne. Il rapporte la destinée du défunt à la Maât, principe de juste mesure, d’ordre et d’équilibre cosmique. </w:t>
      </w:r>
      <w:r>
        <w:rPr/>
        <w:t>La parole rituelle cherche moins à convaincre qu’à manifester une tenue conforme à l’agencement du monde.</w:t>
      </w:r>
    </w:p>
    <w:p>
      <w:pPr>
        <w:pStyle w:val="BodyText"/>
        <w:rPr/>
      </w:pPr>
      <w:r>
        <w:rPr>
          <w:b w:val="false"/>
          <w:bCs w:val="false"/>
        </w:rPr>
        <w:t xml:space="preserve">Ici encore, l’écriture excède la mémoire. Elle donne au parcours une structure. Elle fixe des seuils, des formules, des orientations et des conditions de passage. Le texte rend possible une traversée réglée de l’invisible. </w:t>
      </w:r>
      <w:r>
        <w:rPr/>
        <w:t>Sa puissance tient à ce qu’il dit autant qu’à la place qu’il occupe</w:t>
      </w:r>
      <w:r>
        <w:rPr>
          <w:b w:val="false"/>
          <w:bCs w:val="false"/>
        </w:rPr>
        <w:t xml:space="preserve"> dans un dispositif de corps, de tombeau, de récitation, d’image et d’orientation.</w:t>
      </w:r>
    </w:p>
    <w:p>
      <w:pPr>
        <w:pStyle w:val="BodyText"/>
        <w:rPr>
          <w:b w:val="false"/>
          <w:bCs w:val="false"/>
        </w:rPr>
      </w:pPr>
      <w:r>
        <w:rPr>
          <w:b w:val="false"/>
          <w:bCs w:val="false"/>
        </w:rPr>
        <w:t xml:space="preserve">La Carte babylonienne du monde offre une autre figure de cette écriture cosmographique. Elle ne sert pas d’abord à guider un voyage. Elle stabilise une représentation ordonnée de l’espace, centrée, hiérarchisée, entourée de zones périphériques. Sa fonction n’est pas </w:t>
      </w:r>
      <w:r>
        <w:rPr>
          <w:b w:val="false"/>
          <w:bCs w:val="false"/>
        </w:rPr>
        <w:t xml:space="preserve">uniquement </w:t>
      </w:r>
      <w:r>
        <w:rPr>
          <w:b w:val="false"/>
          <w:bCs w:val="false"/>
        </w:rPr>
        <w:t>descriptive. Elle dispose le monde selon une intelligibilité symbolique, où les lieux prennent sens à partir de leur position dans l’ensemble.</w:t>
      </w:r>
    </w:p>
    <w:p>
      <w:pPr>
        <w:pStyle w:val="BodyText"/>
        <w:rPr/>
      </w:pPr>
      <w:r>
        <w:rPr>
          <w:b w:val="false"/>
          <w:bCs w:val="false"/>
        </w:rPr>
        <w:t xml:space="preserve">Dans le monde védique ancien, les hymnes cosmogoniques, tels que le Nāsadīya Sūkta, ne doivent pas être lus comme de simples doctrines sur l’origine du monde. Ils rejouent, dans la puissance rituelle de l’énoncé, la tension entre indétermination originelle et structuration progressive du réel. </w:t>
      </w:r>
      <w:r>
        <w:rPr/>
        <w:t>Le chant décrit un cosmos tout en participant à l’ajustement du rite</w:t>
      </w:r>
      <w:r>
        <w:rPr>
          <w:b w:val="false"/>
          <w:bCs w:val="false"/>
        </w:rPr>
        <w:t>, du souffle, du rythme, du lieu et de l’ordre qu’il évoque.</w:t>
      </w:r>
    </w:p>
    <w:p>
      <w:pPr>
        <w:pStyle w:val="BodyText"/>
        <w:rPr>
          <w:b w:val="false"/>
          <w:bCs w:val="false"/>
        </w:rPr>
      </w:pPr>
      <w:r>
        <w:rPr>
          <w:b w:val="false"/>
          <w:bCs w:val="false"/>
        </w:rPr>
        <w:t>Ces exemples sont hétérogènes. Ils ne forment pas une tradition unique. Leur rapprochement n’est légitime que sous un angle morphologique : l’écriture y agit comme support d’accord entre texte, monde, lieu, geste et temps. Les agents spécialisés, scribes-astronomes, prêtres-lecteurs, ritualistes, brahmanes ou gardiens de calendriers, ne commandent pas nécessairement au sens souverain. Ils assurent la justesse de l’activation. Ils veillent à la copie, à la récitation, au moment, à l’orientation, à la correspondance.</w:t>
      </w:r>
    </w:p>
    <w:p>
      <w:pPr>
        <w:pStyle w:val="BodyText"/>
        <w:rPr/>
      </w:pPr>
      <w:r>
        <w:rPr>
          <w:b w:val="false"/>
          <w:bCs w:val="false"/>
        </w:rPr>
        <w:t xml:space="preserve">La cratialité du scripturo-cosmologique réside donc moins dans la coercition que dans la tenue collective de l’alignement. Le texte contraint parce qu’il rend le désajustement lisible. Il indique le bon moment, le bon ordre, le bon lieu, la bonne formule, la bonne orientation. La répétition correcte des pratiques devient condition de validité. </w:t>
      </w:r>
      <w:r>
        <w:rPr/>
        <w:t>Exécuter un ordre ne suffit pas : il faut entretenir une structure de correspondances.</w:t>
      </w:r>
    </w:p>
    <w:p>
      <w:pPr>
        <w:pStyle w:val="BodyText"/>
        <w:rPr>
          <w:b w:val="false"/>
          <w:bCs w:val="false"/>
        </w:rPr>
      </w:pPr>
      <w:r>
        <w:rPr>
          <w:b w:val="false"/>
          <w:bCs w:val="false"/>
        </w:rPr>
        <w:t>Le locus de scène est toujours orienté. Temple, tombeau, observatoire, autel, espace rituel, carte, calendrier ou parcours funéraire : chaque lieu n’est efficace qu’en tant qu’il met en phase le texte, le corps, le temps et l’ordre du monde. Une inscription peut être difficilement intelligible à tous ; cela ne supprime pas sa puissance régulatrice. Celle-ci dépend souvent de son emplacement, de sa copie fidèle, de sa récitation correcte et de son activation dans une séquence reconnue.</w:t>
      </w:r>
    </w:p>
    <w:p>
      <w:pPr>
        <w:pStyle w:val="BodyText"/>
        <w:rPr/>
      </w:pPr>
      <w:r>
        <w:rPr/>
        <w:t>C’est pourquoi l’archicration, dans ce méta-régime, prend la forme d’une scène d’ajustement : lorsqu’un rite se désaccorde, lorsqu’un calendrier se trouble ou lorsqu’un parcours est mal activé, la reprise consiste à rétablir une correspondance entre texte, geste, lieu et cycle.</w:t>
      </w:r>
    </w:p>
    <w:p>
      <w:pPr>
        <w:pStyle w:val="BodyText"/>
        <w:rPr>
          <w:b w:val="false"/>
          <w:bCs w:val="false"/>
        </w:rPr>
      </w:pPr>
      <w:r>
        <w:rPr>
          <w:b w:val="false"/>
          <w:bCs w:val="false"/>
        </w:rPr>
        <w:t>Cette régulation possède une plasticité propre. Les textes cosmographiques ne sont pas de simples blocs figés. Ils peuvent être copiés, recomposés, interpolés, adaptés, glosés, déplacés. Mais cette variation n’est pas libre. Elle doit préserver la cohérence de l’ensemble. Dans les traditions égyptiennes, mésopotamiennes ou védiques, la modification légitime est souvent une reprise fidèle : un ajustement qui renouvelle la forme sans rompre l’architecture des correspondances.</w:t>
      </w:r>
    </w:p>
    <w:p>
      <w:pPr>
        <w:pStyle w:val="BodyText"/>
        <w:rPr>
          <w:b w:val="false"/>
          <w:bCs w:val="false"/>
        </w:rPr>
      </w:pPr>
      <w:r>
        <w:rPr>
          <w:b w:val="false"/>
          <w:bCs w:val="false"/>
        </w:rPr>
        <w:t>Son risque propre tient à la fermeture de l’alignement. Si l’ordre social se présente comme reflet nécessaire de l’ordre du monde, sa contestation peut apparaître comme désordre, impiété, erreur ou rupture d’harmonie. Ce qui est historiquement institué se donne alors comme cosmologiquement nécessaire. La scène d’ajustement ne sert plus à reprendre la correspondance ; elle sert à reconduire un ordre rendu intouchable par son inscription dans la structure du monde.</w:t>
      </w:r>
    </w:p>
    <w:p>
      <w:pPr>
        <w:pStyle w:val="BodyText"/>
        <w:rPr>
          <w:b w:val="false"/>
          <w:bCs w:val="false"/>
        </w:rPr>
      </w:pPr>
      <w:r>
        <w:rPr>
          <w:b w:val="false"/>
          <w:bCs w:val="false"/>
        </w:rPr>
        <w:t>Sa spécificité apparaît par contraste. Contrairement au proto-symbolique, il suppose une mémoire scripturaire structurée. Contrairement au techno-logistique, il ne vise pas principalement la compatibilité des flux, mais la mise en accord des gestes avec un ordre cosmique. Contrairement au scripturo-normatif, il ne fonde pas d’abord des obligations opposables, mais des correspondances à maintenir. Contrairement au théologique, il n’oblige pas prioritairement par révélation ou commandement divin, mais par figuration d’un ordre du monde.</w:t>
      </w:r>
    </w:p>
    <w:p>
      <w:pPr>
        <w:pStyle w:val="BodyText"/>
        <w:rPr>
          <w:b w:val="false"/>
          <w:bCs w:val="false"/>
        </w:rPr>
      </w:pPr>
      <w:r>
        <w:rPr>
          <w:b w:val="false"/>
          <w:bCs w:val="false"/>
        </w:rPr>
        <w:t>Le méta-régime archicratique scripturo-cosmologique mérite donc son autonomie. Son opérateur de validité est l’ordre cosmique lisible. Son locus de scène est le lieu orienté où texte, corps, temps et monde sont mis en phase. Sa temporalité est celle du cycle, de la synchronisation, de la réactivation et de la reprise fidèle des correspondances.</w:t>
      </w:r>
    </w:p>
    <w:p>
      <w:pPr>
        <w:pStyle w:val="BodyText"/>
        <w:rPr>
          <w:b w:val="false"/>
          <w:bCs w:val="false"/>
        </w:rPr>
      </w:pPr>
      <w:r>
        <w:rPr>
          <w:b w:val="false"/>
          <w:bCs w:val="false"/>
        </w:rPr>
        <w:t>Il montre qu’une société peut produire de la co-viabilité non par commandement, sanction ou simple fonctionnalité, mais par ajustement à une architecture réputée plus vaste qu’elle. Le texte n’y formule pas seulement ce qu’il faut faire ; il rend visible ce à quoi il faut se tenir pour que les gestes, les lieux et les cycles demeurent accordés.</w:t>
      </w:r>
    </w:p>
    <w:p>
      <w:pPr>
        <w:pStyle w:val="BodyText"/>
        <w:rPr>
          <w:b w:val="false"/>
          <w:bCs w:val="false"/>
        </w:rPr>
      </w:pPr>
      <w:r>
        <w:rPr>
          <w:b w:val="false"/>
          <w:bCs w:val="false"/>
        </w:rPr>
        <w:t>Cette configuration ouvre sur une autre inflexion. Lorsque l’écriture ne figure plus principalement l’ordre du monde, mais transmet une parole tenue pour transcendante, adressée, révélée ou fondatrice, on entre dans le méta-régime archicratique théologique.</w:t>
      </w:r>
    </w:p>
    <w:p>
      <w:pPr>
        <w:pStyle w:val="Heading3"/>
        <w:numPr>
          <w:ilvl w:val="2"/>
          <w:numId w:val="2"/>
        </w:numPr>
        <w:rPr/>
      </w:pPr>
      <w:r>
        <w:rPr/>
        <w:t xml:space="preserve">2.2.6 — </w:t>
      </w:r>
      <w:r>
        <w:rPr>
          <w:i/>
          <w:iCs/>
        </w:rPr>
        <w:t>Le méta-régime archicratique théologique</w:t>
      </w:r>
    </w:p>
    <w:p>
      <w:pPr>
        <w:pStyle w:val="BodyText"/>
        <w:rPr>
          <w:b w:val="false"/>
          <w:bCs w:val="false"/>
        </w:rPr>
      </w:pPr>
      <w:r>
        <w:rPr>
          <w:b w:val="false"/>
          <w:bCs w:val="false"/>
        </w:rPr>
        <w:t>Le méta-régime scripturo-cosmologique fonde la régulation sur l’ajustement à un ordre du monde rendu lisible par l’écriture. Le méta-régime théologique franchit un autre seuil. L’obligation ne procède plus d’abord d’une structure cosmique à reconnaître, ni d’une norme documentaire à invoquer, ni d’un rite à réactiver, mais d’une parole tenue pour révélée.</w:t>
      </w:r>
    </w:p>
    <w:p>
      <w:pPr>
        <w:pStyle w:val="BodyText"/>
        <w:rPr/>
      </w:pPr>
      <w:r>
        <w:rPr>
          <w:b w:val="false"/>
          <w:bCs w:val="false"/>
        </w:rPr>
        <w:t xml:space="preserve">Le méta-régime archicratique théologique désigne cette configuration où la co-viabilité se règle à partir d’un énoncé reçu comme provenant d’une source divine transcendante. </w:t>
      </w:r>
      <w:r>
        <w:rPr/>
        <w:t>Le texte n’oblige pas d’abord parce qu’il reflète l’ordre naturel ou social. Il oblige parce qu’il est reconnu comme parole adressée depuis une source transcendante.</w:t>
      </w:r>
      <w:r>
        <w:rPr>
          <w:b w:val="false"/>
          <w:bCs w:val="false"/>
        </w:rPr>
        <w:t xml:space="preserve"> La validité tient à la provenance. Le théologique commence lorsque la source de validité n’est plus principalement un ordre cosmique à maintenir, mais une parole tenue pour adressée depuis une transcendance.</w:t>
      </w:r>
    </w:p>
    <w:p>
      <w:pPr>
        <w:pStyle w:val="BodyText"/>
        <w:rPr>
          <w:b w:val="false"/>
          <w:bCs w:val="false"/>
        </w:rPr>
      </w:pPr>
      <w:r>
        <w:rPr>
          <w:b w:val="false"/>
          <w:bCs w:val="false"/>
        </w:rPr>
        <w:t>La différence avec le scripturo-cosmologique est donc essentielle. Dans ce dernier, le texte figure une structure du monde à laquelle les conduites doivent s’ajuster. Dans le théologique, le texte conserve, transmet ou atteste une parole qui commande par son origine. Là où le cosmologique oblige par alignement à une architecture du réel, le théologique oblige par fidélité à une adresse révélée.</w:t>
      </w:r>
    </w:p>
    <w:p>
      <w:pPr>
        <w:pStyle w:val="BodyText"/>
        <w:rPr/>
      </w:pPr>
      <w:r>
        <w:rPr>
          <w:b w:val="false"/>
          <w:bCs w:val="false"/>
        </w:rPr>
        <w:t xml:space="preserve">Cette parole révélée constitue l’arcalité propre du méta-régime. Le fondement n’est plus la reconnaissance d’un ordre préalable, mais la réception d’un dire instituant. Ce n’est pas le monde qui fournit la norme ; c’est une parole tenue pour divine qui adresse, fonde, ordonne, appelle, promet ou juge. </w:t>
      </w:r>
      <w:r>
        <w:rPr/>
        <w:t>Sinaï, descente coranique, Verbe incarné : ces scènes ne valent pas comme de simples événements fondateurs.</w:t>
      </w:r>
      <w:r>
        <w:rPr>
          <w:b w:val="false"/>
          <w:bCs w:val="false"/>
        </w:rPr>
        <w:t xml:space="preserve"> Elles instituent une relation durable entre une source transcendante, une communauté de réception et des formes de transmission.</w:t>
      </w:r>
    </w:p>
    <w:p>
      <w:pPr>
        <w:pStyle w:val="BodyText"/>
        <w:rPr>
          <w:b w:val="false"/>
          <w:bCs w:val="false"/>
        </w:rPr>
      </w:pPr>
      <w:r>
        <w:rPr>
          <w:b w:val="false"/>
          <w:bCs w:val="false"/>
        </w:rPr>
        <w:t>Le texte théologique n’est donc ni un miroir du cosmos, ni une archive ordinaire, ni un code au sens strict. Il est la trace d’une adresse. Il conserve la marque d’un moment où la parole est tenue pour avoir été donnée, reçue, transmise. Son autorité ne dépend pas d’abord de sa démonstration interne, ni de son utilité sociale, ni de son adéquation à un cycle cosmique. Elle dépend de la reconnaissance de sa source.</w:t>
      </w:r>
    </w:p>
    <w:p>
      <w:pPr>
        <w:pStyle w:val="BodyText"/>
        <w:rPr>
          <w:b w:val="false"/>
          <w:bCs w:val="false"/>
        </w:rPr>
      </w:pPr>
      <w:r>
        <w:rPr>
          <w:b w:val="false"/>
          <w:bCs w:val="false"/>
        </w:rPr>
        <w:t>Cette parole ne descend pourtant jamais dans l’histoire sans médiation. Elle passe par des figures de réception : prophètes, envoyés, messies, apôtres, témoins, transmetteurs. Ces figures ne sont pas auteurs au sens ordinaire. Elles n’inventent pas la norme ; elles rendent recevable une parole qu’elles ne possèdent pas. Leur autorité tient à cette dépossession même : elles relaient ce qui les excède.</w:t>
      </w:r>
    </w:p>
    <w:p>
      <w:pPr>
        <w:pStyle w:val="BodyText"/>
        <w:rPr>
          <w:b w:val="false"/>
          <w:bCs w:val="false"/>
        </w:rPr>
      </w:pPr>
      <w:r>
        <w:rPr>
          <w:b w:val="false"/>
          <w:bCs w:val="false"/>
        </w:rPr>
        <w:t>La tradition juive, le christianisme et l’islam offrent trois formes majeures de cette configuration. Moïse transmet la Torah comme parole donnée. Le christianisme pense le Christ comme Verbe incarné et les Évangiles comme témoignage normatif de cette incarnation. L’islam reçoit le Qurʾān comme descente révélée, récité, mémorisé et transmis selon une économie stricte de fidélité. Dans ces trois cas, l’obligation ne procède ni d’une simple coutume, ni d’une démonstration, ni d’un ordre cosmographique. Elle vient de ce qu’une parole tenue pour divine a été adressée et reçue.</w:t>
      </w:r>
    </w:p>
    <w:p>
      <w:pPr>
        <w:pStyle w:val="BodyText"/>
        <w:rPr>
          <w:b w:val="false"/>
          <w:bCs w:val="false"/>
        </w:rPr>
      </w:pPr>
      <w:r>
        <w:rPr>
          <w:b w:val="false"/>
          <w:bCs w:val="false"/>
        </w:rPr>
        <w:t>La cratialité théologique s’exerce alors dans les dispositifs de fidélité à cette source. Chaînes de transmission, canon, écoles exégétiques, liturgies, autorités doctrinales, disciplines du commentaire, institutions de garde et de formation : ces médiations donnent à la parole révélée sa puissance d’effectuation historique. Elles ne créent pas la source ; elles en organisent la conservation, la récitation, l’interprétation réglée et la transmission.</w:t>
      </w:r>
    </w:p>
    <w:p>
      <w:pPr>
        <w:pStyle w:val="BodyText"/>
        <w:rPr>
          <w:b w:val="false"/>
          <w:bCs w:val="false"/>
        </w:rPr>
      </w:pPr>
      <w:r>
        <w:rPr>
          <w:b w:val="false"/>
          <w:bCs w:val="false"/>
        </w:rPr>
        <w:t>Cette cratialité est singulière. Elle agit par fidélité, par répétition, par autorisation, par canonisation, par hiérarchie des lectures. Le pouvoir de l’interprète ne vaut qu’à condition de ne pas se substituer à la source. Le commentaire doit éclairer sans refonder. La tradition doit actualiser sans rompre. L’autorité doctrinale doit délimiter les interprétations recevables sans prétendre égaler la parole originaire.</w:t>
      </w:r>
    </w:p>
    <w:p>
      <w:pPr>
        <w:pStyle w:val="BodyText"/>
        <w:rPr>
          <w:b w:val="false"/>
          <w:bCs w:val="false"/>
        </w:rPr>
      </w:pPr>
      <w:r>
        <w:rPr>
          <w:b w:val="false"/>
          <w:bCs w:val="false"/>
        </w:rPr>
        <w:t>C’est pourquoi le méta-régime théologique organise une topologie hiérarchique des textes. La parole révélée occupe le sommet. Autour d’elle se déploient commentaires, gloses, traditions, décisions, conciles, écoles, recueils, jurisprudences ou chaînes d’autorité. Ces médiations peuvent être très puissantes, mais leur légitimité reste dérivée. Elles valent par leur proximité à la source, par leur fidélité reconnue, par leur capacité à transmettre sans altérer.</w:t>
      </w:r>
    </w:p>
    <w:p>
      <w:pPr>
        <w:pStyle w:val="BodyText"/>
        <w:rPr>
          <w:b w:val="false"/>
          <w:bCs w:val="false"/>
        </w:rPr>
      </w:pPr>
      <w:r>
        <w:rPr>
          <w:b w:val="false"/>
          <w:bCs w:val="false"/>
        </w:rPr>
        <w:t>Dans le judaïsme rabbinique, cette topologie se donne dans les relations entre Torah écrite, Mishnah, Gemara et traditions exégétiques. Dans l’islam, elle distingue le Qurʾān, les ḥadīth, les tafsīr et les constructions juridiques selon des règles de transmission et de recevabilité. Dans le christianisme, elle articule Écritures, Évangiles, épîtres, Pères, conciles, magistère ou traditions confessionnelles. Ces architectures diffèrent profondément, mais elles manifestent un même problème morphologique : comment prolonger la parole-source sans se l’approprier ?</w:t>
      </w:r>
    </w:p>
    <w:p>
      <w:pPr>
        <w:pStyle w:val="BodyText"/>
        <w:rPr>
          <w:b w:val="false"/>
          <w:bCs w:val="false"/>
        </w:rPr>
      </w:pPr>
      <w:r>
        <w:rPr>
          <w:b w:val="false"/>
          <w:bCs w:val="false"/>
        </w:rPr>
        <w:t>L’archicration théologique apparaît dans les scènes où cette parole est reprise, activée, gardée, interprétée ou défendue. Elle ne prend pas d’abord la forme d’un recours juridique, ni d’une confrontation documentaire ordinaire, ni d’une resynchronisation cosmique. Elle prend la forme d’une garde herméneutique : récitation, proclamation, liturgie, étude, commentaire autorisé, controverse doctrinale, jugement d’orthodoxie, transmission réglée.</w:t>
      </w:r>
    </w:p>
    <w:p>
      <w:pPr>
        <w:pStyle w:val="BodyText"/>
        <w:rPr>
          <w:b w:val="false"/>
          <w:bCs w:val="false"/>
        </w:rPr>
      </w:pPr>
      <w:r>
        <w:rPr>
          <w:b w:val="false"/>
          <w:bCs w:val="false"/>
        </w:rPr>
        <w:t>La scène liturgique en est une forme centrale. Le Shemaʿ, la qeriʾa de la Torah, la récitation coranique dans la ṣalāt, la proclamation évangélique dans la liturgie chrétienne ne valent pas comme simple lecture d’un contenu. Elles relancent une parole-source dans un cadre réglé de corps, de temps, de lieu, d’écoute et de réception. La parole y devient opérante par sa reprise fidèle.</w:t>
      </w:r>
    </w:p>
    <w:p>
      <w:pPr>
        <w:pStyle w:val="BodyText"/>
        <w:rPr>
          <w:b w:val="false"/>
          <w:bCs w:val="false"/>
        </w:rPr>
      </w:pPr>
      <w:r>
        <w:rPr>
          <w:b w:val="false"/>
          <w:bCs w:val="false"/>
        </w:rPr>
        <w:t>Cette activation se prolonge dans des pratiques ordinaires : prières réglées, étude, mémorisation, récitations privées, bénédictions, disciplines des heures, gestes de transmission, apprentissage des formules. Le fidèle n’est pas seulement destinataire d’un texte ; il devient porteur incorporé d’une parole qui ordonne la conduite. Le théologique forme ainsi des corps de réception autant que des doctrines.</w:t>
      </w:r>
    </w:p>
    <w:p>
      <w:pPr>
        <w:pStyle w:val="BodyText"/>
        <w:rPr>
          <w:b w:val="false"/>
          <w:bCs w:val="false"/>
        </w:rPr>
      </w:pPr>
      <w:r>
        <w:rPr>
          <w:b w:val="false"/>
          <w:bCs w:val="false"/>
        </w:rPr>
        <w:t>La conflictualité y prend une forme propre. Le désaccord ne porte pas seulement sur ce qu’il faut faire, mais sur ce qu’il est possible de dire sans rompre la fidélité à la source. Hérésie, schisme, apostasie, takfīr, condamnation doctrinale ou exclusion confessionnelle désignent des ruptures dans la chaîne de réception reconnue. La faute centrale n’est pas toujours morale ; elle peut être énonciative : parler hors de la fidélité admise.</w:t>
      </w:r>
    </w:p>
    <w:p>
      <w:pPr>
        <w:pStyle w:val="BodyText"/>
        <w:rPr>
          <w:b w:val="false"/>
          <w:bCs w:val="false"/>
        </w:rPr>
      </w:pPr>
      <w:r>
        <w:rPr>
          <w:b w:val="false"/>
          <w:bCs w:val="false"/>
        </w:rPr>
        <w:t>Ces mécanismes d’exclusion ne se réduisent pas à la répression. Ils ont aussi une fonction de délimitation du dicible. Ils tracent les frontières de l’interprétation recevable, clarifient les positions, stabilisent une mémoire doctrinale, protègent une communauté contre ce qu’elle juge être une altération de la parole-source. Mais leur puissance régulatrice est ambivalente. Ce qui protège la fidélité peut aussi fermer l’épreuve. Ce qui garde la source peut rendre certaines reprises impossibles.</w:t>
      </w:r>
    </w:p>
    <w:p>
      <w:pPr>
        <w:pStyle w:val="BodyText"/>
        <w:rPr>
          <w:b w:val="false"/>
          <w:bCs w:val="false"/>
        </w:rPr>
      </w:pPr>
      <w:r>
        <w:rPr>
          <w:b w:val="false"/>
          <w:bCs w:val="false"/>
        </w:rPr>
        <w:t>Le risque propre du méta-régime théologique tient donc à la clôture de la source. Lorsqu’une parole est tenue pour absolue, la critique peut être rabattue sur l’infidélité, la variation sur l’altération, la reformulation sur la trahison. Le débat ne disparaît pas ; les traditions théologiques ont produit d’immenses espaces de discussion. Mais cette discussion se déploie dans une limite forte : elle ne peut pas se présenter comme refondation souveraine de la source.</w:t>
      </w:r>
    </w:p>
    <w:p>
      <w:pPr>
        <w:pStyle w:val="BodyText"/>
        <w:rPr>
          <w:b w:val="false"/>
          <w:bCs w:val="false"/>
        </w:rPr>
      </w:pPr>
      <w:r>
        <w:rPr>
          <w:b w:val="false"/>
          <w:bCs w:val="false"/>
        </w:rPr>
        <w:t>C’est aussi ce qui fait sa puissance. Le théologique donne à la co-viabilité une profondeur d’adresse, de mémoire, d’obligation et de fidélité que ne produisent ni la simple coordination logistique, ni la seule norme documentaire, ni l’ajustement cosmologique. Il fonde des communautés de réception. Il inscrit les conduites dans une relation à une parole qui précède les vivants, les juge, les rassemble et leur survit.</w:t>
      </w:r>
    </w:p>
    <w:p>
      <w:pPr>
        <w:pStyle w:val="BodyText"/>
        <w:rPr>
          <w:b w:val="false"/>
          <w:bCs w:val="false"/>
        </w:rPr>
      </w:pPr>
      <w:r>
        <w:rPr>
          <w:b w:val="false"/>
          <w:bCs w:val="false"/>
        </w:rPr>
        <w:t>Sa spécificité apparaît par contraste. Contrairement au sacral non étatique, il ne repose pas principalement sur le retrait d’objets ou la médiation de puissances diffuses, mais sur une parole reçue comme révélée. Contrairement au scripturo-cosmologique, il ne fonde pas d’abord par correspondance à l’ordre du monde, mais par provenance transcendante de l’énoncé. Contrairement au scripturo-normatif, il ne se réduit pas à la trace opposable ou à l’archive documentaire, même lorsqu’il produit des normes, des lois ou des jurisprudences. Contrairement au normativo-politique, il ne fait pas dépendre la validité de la délibération publique ou de la souveraineté humaine.</w:t>
      </w:r>
    </w:p>
    <w:p>
      <w:pPr>
        <w:pStyle w:val="BodyText"/>
        <w:rPr>
          <w:b w:val="false"/>
          <w:bCs w:val="false"/>
        </w:rPr>
      </w:pPr>
      <w:r>
        <w:rPr>
          <w:b w:val="false"/>
          <w:bCs w:val="false"/>
        </w:rPr>
        <w:t>Le méta-régime archicratique théologique mérite donc son autonomie. Son opérateur de validité est la parole révélée. Son locus de scène est l’espace de réception, de récitation, de liturgie, d’exégèse, de garde canonique et de controverse doctrinale. Sa temporalité est celle de la fidélité : transmission, mémoire, attente, accomplissement, retour à la source, actualisation réglée.</w:t>
      </w:r>
    </w:p>
    <w:p>
      <w:pPr>
        <w:pStyle w:val="BodyText"/>
        <w:rPr>
          <w:b w:val="false"/>
          <w:bCs w:val="false"/>
        </w:rPr>
      </w:pPr>
      <w:r>
        <w:rPr>
          <w:b w:val="false"/>
          <w:bCs w:val="false"/>
        </w:rPr>
        <w:t>Il montre qu’une société peut produire de la co-viabilité à partir d’une parole tenue pour plus haute que toute décision humaine. L’ordre y tient par réception, conservation, interprétation et reprise fidèle d’un énoncé fondateur. La régulation n’y procède ni du seul rite, ni du calcul des flux, ni de la preuve documentaire, ni de l’accord cosmique. Elle procède de la puissance d’une parole qui oblige parce qu’elle est reçue comme venue d’au-delà de l’humain.</w:t>
      </w:r>
    </w:p>
    <w:p>
      <w:pPr>
        <w:pStyle w:val="Heading3"/>
        <w:numPr>
          <w:ilvl w:val="2"/>
          <w:numId w:val="2"/>
        </w:numPr>
        <w:rPr/>
      </w:pPr>
      <w:r>
        <w:rPr/>
        <w:t xml:space="preserve">2.2.7 — </w:t>
      </w:r>
      <w:r>
        <w:rPr>
          <w:i/>
          <w:iCs/>
        </w:rPr>
        <w:t>Le méta-régime archicratique historiographique</w:t>
      </w:r>
    </w:p>
    <w:p>
      <w:pPr>
        <w:pStyle w:val="BodyText"/>
        <w:rPr>
          <w:b w:val="false"/>
          <w:bCs w:val="false"/>
        </w:rPr>
      </w:pPr>
      <w:r>
        <w:rPr>
          <w:b w:val="false"/>
          <w:bCs w:val="false"/>
        </w:rPr>
        <w:t>Après les méta-régimes fondés sur la parole révélée, l’ordre cosmique ou la normativité documentaire, une autre forme de co-viabilité se constitue autour de la mise en récit du passé. Le méta-régime archicratique historiographique désigne cette configuration dans laquelle l’histoire sélectionnée, ordonnée, transmise et réactivée devient opérateur de légitimité.</w:t>
      </w:r>
    </w:p>
    <w:p>
      <w:pPr>
        <w:pStyle w:val="BodyText"/>
        <w:rPr/>
      </w:pPr>
      <w:r>
        <w:rPr>
          <w:b w:val="false"/>
          <w:bCs w:val="false"/>
        </w:rPr>
        <w:t xml:space="preserve">Il ne s’agit pas ici de l’histoire critique au sens moderne, ni de la mémoire collective prise dans son extension la plus générale. Il s’agit d’une forme régulatrice précise : le passé configuré devient fondement du présent. Règnes, généalogies, fondations, conquêtes, restaurations, catastrophes, figures exemplaires ou ruptures inaugurales sont retenus, mis en intrigue et transmis comme trame d’autorisation. </w:t>
      </w:r>
      <w:r>
        <w:rPr/>
        <w:t>Ce qui a été raconté comme fondateur peut continuer à orienter ce qui sera reconnu comme recevable.</w:t>
      </w:r>
    </w:p>
    <w:p>
      <w:pPr>
        <w:pStyle w:val="BodyText"/>
        <w:rPr>
          <w:b w:val="false"/>
          <w:bCs w:val="false"/>
        </w:rPr>
      </w:pPr>
      <w:r>
        <w:rPr>
          <w:b w:val="false"/>
          <w:bCs w:val="false"/>
        </w:rPr>
        <w:t>La différence avec le scripturo-normatif est décisive. Dans le scripturo-normatif, l’écrit stabilise l’obligation : contrat, clause, registre, preuve, dette, statut. Dans l’historiographique, l’écrit stabilise une continuité recevable. Il ne dit pas seulement ce qui est dû ; il raconte ce qui a déjà tenu, ce qui a été transmis, ce qui doit être repris pour que l’ordre présent demeure intelligible.</w:t>
      </w:r>
    </w:p>
    <w:p>
      <w:pPr>
        <w:pStyle w:val="BodyText"/>
        <w:rPr>
          <w:b w:val="false"/>
          <w:bCs w:val="false"/>
        </w:rPr>
      </w:pPr>
      <w:r>
        <w:rPr>
          <w:b w:val="false"/>
          <w:bCs w:val="false"/>
        </w:rPr>
        <w:t>La différence avec le théologique est tout aussi nette. Le théologique oblige par fidélité à une parole révélée. L’historiographique oblige par fidélité à une séquence fondatrice du temps commun. La source n’est pas un énoncé divin, mais un passé rendu exemplaire par sa mise en récit.</w:t>
      </w:r>
    </w:p>
    <w:p>
      <w:pPr>
        <w:pStyle w:val="BodyText"/>
        <w:rPr>
          <w:b w:val="false"/>
          <w:bCs w:val="false"/>
        </w:rPr>
      </w:pPr>
      <w:r>
        <w:rPr>
          <w:b w:val="false"/>
          <w:bCs w:val="false"/>
        </w:rPr>
        <w:t>Dans ce méta-régime, l’arcalité procède donc de la configuration narrative du passé. Ce qui fonde n’est pas l’ancienneté brute d’un événement, mais sa sélection comme origine recevable. Un événement ne devient politiquement fondateur que s’il est retenu, ordonné, raconté, transmis et rendu capable de soutenir le présent. Le passé n’oblige pas parce qu’il est passé ; il oblige parce qu’il a été mis en forme comme précédent, filiation ou origine.</w:t>
      </w:r>
    </w:p>
    <w:p>
      <w:pPr>
        <w:pStyle w:val="BodyText"/>
        <w:rPr>
          <w:b w:val="false"/>
          <w:bCs w:val="false"/>
        </w:rPr>
      </w:pPr>
      <w:r>
        <w:rPr>
          <w:b w:val="false"/>
          <w:bCs w:val="false"/>
        </w:rPr>
        <w:t>Les inscriptions royales, les épopées fondatrices, les annales, les chroniques de cour, les généalogies officielles et les récits impériaux constituent les supports privilégiés de cette régulation. Dans les monarchies mésopotamiennes, les récits royaux ne rapportent pas seulement des faits. Ils organisent la mémoire du pouvoir, inscrivent les règnes dans une continuité, hiérarchisent les gestes dignes d’être transmis et transforment l’héritage dynastique en ressource de légitimation.</w:t>
      </w:r>
    </w:p>
    <w:p>
      <w:pPr>
        <w:pStyle w:val="BodyText"/>
        <w:rPr>
          <w:b w:val="false"/>
          <w:bCs w:val="false"/>
        </w:rPr>
      </w:pPr>
      <w:r>
        <w:rPr>
          <w:b w:val="false"/>
          <w:bCs w:val="false"/>
        </w:rPr>
        <w:t>La Chine impériale donne une autre forme majeure de cette logique. Les chroniques, annales, histoires dynastiques et répertoires de figures exemplaires ne se contentent pas de conserver le passé. Ils produisent un ordre de lisibilité dans lequel chaque règne, chaque réforme, chaque crise ou chaque restauration peut être rapporté à une chaîne de précédents. L’histoire devient alors une technique de continuité politique : elle inscrit le présent dans un temps déjà ordonné.</w:t>
      </w:r>
    </w:p>
    <w:p>
      <w:pPr>
        <w:pStyle w:val="BodyText"/>
        <w:rPr>
          <w:b w:val="false"/>
          <w:bCs w:val="false"/>
        </w:rPr>
      </w:pPr>
      <w:r>
        <w:rPr>
          <w:b w:val="false"/>
          <w:bCs w:val="false"/>
        </w:rPr>
        <w:t>L’arcalité historiographique repose ainsi sur un passé configuré. Elle suppose un travail de composition par lequel certains événements deviennent fondateurs, d’autres secondaires, d’autres encore invisibles. Ce méta-régime ne demande pas seulement que l’on se souvienne ; il demande que l’on se souvienne selon une forme. La mémoire devient politique lorsqu’elle sélectionne ce qui peut valoir comme origine.</w:t>
      </w:r>
    </w:p>
    <w:p>
      <w:pPr>
        <w:pStyle w:val="BodyText"/>
        <w:rPr>
          <w:b w:val="false"/>
          <w:bCs w:val="false"/>
        </w:rPr>
      </w:pPr>
      <w:r>
        <w:rPr>
          <w:b w:val="false"/>
          <w:bCs w:val="false"/>
        </w:rPr>
        <w:t>La cratialité historiographique s’exerce par la puissance du précédent. Le récit ne commande pas directement. Il oriente. Il propose des figures, des gestes, des modèles, des fautes, des restaurations, des défaites ou des fidélités à partir desquels le présent peut être jugé. Un souverain, une dynastie, une cité, une institution ou un peuple peut chercher à se rendre recevable en se raccordant à une séquence déjà validée.</w:t>
      </w:r>
    </w:p>
    <w:p>
      <w:pPr>
        <w:pStyle w:val="BodyText"/>
        <w:rPr>
          <w:b w:val="false"/>
          <w:bCs w:val="false"/>
        </w:rPr>
      </w:pPr>
      <w:r>
        <w:rPr>
          <w:b w:val="false"/>
          <w:bCs w:val="false"/>
        </w:rPr>
        <w:t>Les annales assyriennes montrent cette puissance du précédent dans une forme conquérante : chaque victoire nouvelle peut être rendue lisible comme reprise d’une continuité héroïque. Les récits impériaux chinois, dans un autre registre, construisent des modèles de vertu, de désordre, de réforme ou de déclin à partir desquels l’action présente peut être évaluée. Dans les deux cas, l’histoire ne dicte pas mécaniquement la conduite ; elle configure un horizon d’autorité.</w:t>
      </w:r>
    </w:p>
    <w:p>
      <w:pPr>
        <w:pStyle w:val="BodyText"/>
        <w:rPr>
          <w:b w:val="false"/>
          <w:bCs w:val="false"/>
        </w:rPr>
      </w:pPr>
      <w:r>
        <w:rPr>
          <w:b w:val="false"/>
          <w:bCs w:val="false"/>
        </w:rPr>
        <w:t>Cette puissance narrative ne passe pas seulement par les textes. Elle se prolonge dans des dispositifs de lecture, de récitation, d’enseignement, de commémoration, de monument, de cérémonie ou de transmission. Le récit historiographique régule lorsqu’il est réactivé dans des scènes où le collectif se reconnaît, se juge ou se réinscrit dans une filiation.</w:t>
      </w:r>
    </w:p>
    <w:p>
      <w:pPr>
        <w:pStyle w:val="BodyText"/>
        <w:rPr>
          <w:b w:val="false"/>
          <w:bCs w:val="false"/>
        </w:rPr>
      </w:pPr>
      <w:r>
        <w:rPr>
          <w:b w:val="false"/>
          <w:bCs w:val="false"/>
        </w:rPr>
        <w:t>Les lectures dynastiques à la cour ottomane en offrent un exemple significatif. La récitation d’épisodes fondateurs devant les dignitaires ne relève pas seulement de l’érudition ou de l’ornement cérémoniel. Elle réinscrit le présent du pouvoir dans une continuité autorisée. Le passé, relu publiquement, redevient matrice d’orientation.</w:t>
      </w:r>
    </w:p>
    <w:p>
      <w:pPr>
        <w:pStyle w:val="BodyText"/>
        <w:rPr>
          <w:b w:val="false"/>
          <w:bCs w:val="false"/>
        </w:rPr>
      </w:pPr>
      <w:r>
        <w:rPr>
          <w:b w:val="false"/>
          <w:bCs w:val="false"/>
        </w:rPr>
        <w:t>C’est ici que se situe l’archicration propre de ce méta-régime. Elle apparaît lorsque le passé commun devient objet de tri, de validation, de contestation ou de relance. Tant qu’un récit s’impose sans friction, il agit surtout comme cratialité du précédent. Mais lorsque plusieurs passés deviennent disponibles, concurrents ou incompatibles, une scène historiographique s’ouvre : il faut décider ce qui pourra continuer à faire mémoire publique.</w:t>
      </w:r>
    </w:p>
    <w:p>
      <w:pPr>
        <w:pStyle w:val="BodyText"/>
        <w:rPr>
          <w:b w:val="false"/>
          <w:bCs w:val="false"/>
        </w:rPr>
      </w:pPr>
      <w:r>
        <w:rPr>
          <w:b w:val="false"/>
          <w:bCs w:val="false"/>
        </w:rPr>
        <w:t>Cette scène peut prendre plusieurs formes : commission savante, chronique officielle, révision dynastique, canon scolaire, commémoration publique, effacement d’un nom, réhabilitation, condamnation mémorielle, sélection d’archives, restauration d’un récit fondateur. Elle n’est pas toujours ouverte ni démocratique. Mais elle constitue une scène d’épreuve au sens archicratique : le passé y est confronté à des conditions de recevabilité.</w:t>
      </w:r>
    </w:p>
    <w:p>
      <w:pPr>
        <w:pStyle w:val="BodyText"/>
        <w:rPr>
          <w:b w:val="false"/>
          <w:bCs w:val="false"/>
        </w:rPr>
      </w:pPr>
      <w:r>
        <w:rPr>
          <w:b w:val="false"/>
          <w:bCs w:val="false"/>
        </w:rPr>
        <w:t>Les révisions historiographiques sous les Song donnent à voir cette fonction de tri. Les récits y sont compilés, sélectionnés, ordonnés selon des critères moraux, politiques et dynastiques. L’histoire devient un champ de validation du passé légitime. Dans un registre différent, la damnatio memoriae romaine montre qu’un pouvoir peut tenter de maintenir sa cohérence en retranchant une figure de la mémoire publique. Ici encore, il ne s’agit pas simplement d’écrire l’histoire ; il s’agit de déterminer ce qui pourra continuer à soutenir l’ordre commun.</w:t>
      </w:r>
    </w:p>
    <w:p>
      <w:pPr>
        <w:pStyle w:val="BodyText"/>
        <w:rPr>
          <w:b w:val="false"/>
          <w:bCs w:val="false"/>
        </w:rPr>
      </w:pPr>
      <w:r>
        <w:rPr>
          <w:b w:val="false"/>
          <w:bCs w:val="false"/>
        </w:rPr>
        <w:t>La mémoire ne régule donc pas parce qu’elle conserve tout. Elle régule parce qu’elle filtre. Entre le passé disponible et le passé admissible, il existe un travail de hiérarchisation, de sélection, de relance et parfois d’effacement. Le méta-régime historiographique se joue dans cet écart : ce qui a eu lieu ne suffit pas ; encore faut-il que cela soit rendu transmissible comme précédent légitime.</w:t>
      </w:r>
    </w:p>
    <w:p>
      <w:pPr>
        <w:pStyle w:val="BodyText"/>
        <w:rPr>
          <w:b w:val="false"/>
          <w:bCs w:val="false"/>
        </w:rPr>
      </w:pPr>
      <w:r>
        <w:rPr>
          <w:b w:val="false"/>
          <w:bCs w:val="false"/>
        </w:rPr>
        <w:t>Ce point permet d’éviter une confusion. L’historiographique n’est pas une simple propagande. La propagande peut manipuler le passé de manière tactique et immédiate ; le méta-régime historiographique suppose une profondeur de transmission. Il ne suffit pas d’inventer un récit utile. Il faut qu’il demeure lisible comme chaîne, crédible comme continuité, réactivable comme mémoire commune. Lorsqu’il perd cette profondeur, il peut encore séduire ou mobiliser, mais il cesse d’opérer comme méta-régime de co-viabilité.</w:t>
      </w:r>
    </w:p>
    <w:p>
      <w:pPr>
        <w:pStyle w:val="BodyText"/>
        <w:rPr>
          <w:b w:val="false"/>
          <w:bCs w:val="false"/>
        </w:rPr>
      </w:pPr>
      <w:r>
        <w:rPr>
          <w:b w:val="false"/>
          <w:bCs w:val="false"/>
        </w:rPr>
        <w:t>Son risque propre tient à la fermeture du passé. Lorsque le récit autorisé devient intouchable, il peut neutraliser les mémoires concurrentes, effacer les vaincus, discipliner les filiations, réduire la pluralité historique à une seule version recevable. À l’inverse, lorsque trop de récits concurrents se déploient sans scène de reprise commune, la continuité se fragmente. Le méta-régime historiographique peut donc se dégrader par clôture mémorielle ou par dispersion narrative.</w:t>
      </w:r>
    </w:p>
    <w:p>
      <w:pPr>
        <w:pStyle w:val="BodyText"/>
        <w:rPr>
          <w:b w:val="false"/>
          <w:bCs w:val="false"/>
        </w:rPr>
      </w:pPr>
      <w:r>
        <w:rPr>
          <w:b w:val="false"/>
          <w:bCs w:val="false"/>
        </w:rPr>
        <w:t>Sa spécificité apparaît alors avec netteté. Son opérateur de validité est le passé configuré comme précédent légitime. Son locus de scène est le lieu où ce passé est écrit, relu, enseigné, commémoré, révisé ou retranché : chronique, annale, monument, cour, école, archive, cérémonie, tribunal symbolique de la mémoire. Sa temporalité est celle de la filiation, de la réactivation, de la commémoration et de la continuité narrative.</w:t>
      </w:r>
    </w:p>
    <w:p>
      <w:pPr>
        <w:pStyle w:val="BodyText"/>
        <w:rPr/>
      </w:pPr>
      <w:r>
        <w:rPr>
          <w:b w:val="false"/>
          <w:bCs w:val="false"/>
        </w:rPr>
        <w:t xml:space="preserve">Le méta-régime archicratique historiographique mérite donc son autonomie. </w:t>
      </w:r>
      <w:r>
        <w:rPr/>
        <w:t>Une société tient par ce qu’elle croit, prescrit, calcule ou organise matériellement. Elle tient aussi par ce qu’elle se raconte comme ayant déjà tenu.</w:t>
      </w:r>
      <w:r>
        <w:rPr>
          <w:b w:val="false"/>
          <w:bCs w:val="false"/>
        </w:rPr>
        <w:t xml:space="preserve"> Le récit validé ne vient pas après l’ordre ; il participe à sa reproduction en donnant au présent la forme d’une continuation recevable.</w:t>
      </w:r>
    </w:p>
    <w:p>
      <w:pPr>
        <w:pStyle w:val="BodyText"/>
        <w:rPr>
          <w:b w:val="false"/>
          <w:bCs w:val="false"/>
        </w:rPr>
      </w:pPr>
      <w:r>
        <w:rPr>
          <w:b w:val="false"/>
          <w:bCs w:val="false"/>
        </w:rPr>
        <w:t>Ce méta-régime révèle ainsi une propriété majeure de la régulation politique : la co-viabilité dépend aussi de la maîtrise des récits à partir desquels un collectif se comprend comme légitime, continu et transmissible. L’obligation narrative n’est pas un décor. Elle constitue une modalité effective du gouvernement des appartenances, des fidélités et des seuils du pensable politique.</w:t>
      </w:r>
    </w:p>
    <w:p>
      <w:pPr>
        <w:pStyle w:val="BodyText"/>
        <w:rPr>
          <w:b w:val="false"/>
          <w:bCs w:val="false"/>
        </w:rPr>
      </w:pPr>
      <w:r>
        <w:rPr>
          <w:b w:val="false"/>
          <w:bCs w:val="false"/>
        </w:rPr>
        <w:t>Cette forme ouvre sur un autre seuil. Lorsque l’autorité ne procède plus principalement du passé raconté, mais de la classification, de la validation et de la reproduction réglée des savoirs, on entre dans le méta-régime archicratique épistémique.</w:t>
      </w:r>
    </w:p>
    <w:p>
      <w:pPr>
        <w:pStyle w:val="Heading3"/>
        <w:numPr>
          <w:ilvl w:val="2"/>
          <w:numId w:val="2"/>
        </w:numPr>
        <w:rPr/>
      </w:pPr>
      <w:r>
        <w:rPr/>
        <w:t xml:space="preserve">2.2.8 — </w:t>
      </w:r>
      <w:r>
        <w:rPr>
          <w:i/>
          <w:iCs/>
        </w:rPr>
        <w:t>Le méta-régime archicratique épistémique</w:t>
      </w:r>
    </w:p>
    <w:p>
      <w:pPr>
        <w:pStyle w:val="BodyText"/>
        <w:rPr/>
      </w:pPr>
      <w:r>
        <w:rPr>
          <w:b w:val="false"/>
          <w:bCs w:val="false"/>
        </w:rPr>
        <w:t xml:space="preserve">Après le méta-régime historiographique, où la co-viabilité se règle par la mise en récit du passé, le méta-régime épistémique introduit une autre forme de tenue. </w:t>
      </w:r>
      <w:r>
        <w:rPr/>
        <w:t>L’ordre cesse de s’autoriser principalement par la filiation, la mémoire dynastique, la révélation ou l’accord cosmique ; il s’appuie désormais sur la production réglée d’énoncés tenus pour vrais.</w:t>
      </w:r>
    </w:p>
    <w:p>
      <w:pPr>
        <w:pStyle w:val="BodyText"/>
        <w:rPr>
          <w:b w:val="false"/>
          <w:bCs w:val="false"/>
        </w:rPr>
      </w:pPr>
      <w:r>
        <w:rPr>
          <w:b w:val="false"/>
          <w:bCs w:val="false"/>
        </w:rPr>
        <w:t>Le méta-régime archicratique épistémique désigne cette configuration dans laquelle le savoir devient principe de régulation. Il ne s’agit pas de toute connaissance, ni de toute compétence, ni de toute transmission savante. Il y a méta-régime épistémique lorsque des corpus, des méthodes, des instruments, des classifications et des scènes de validation organisent durablement ce qui peut être reconnu comme vrai, enseigné comme recevable et mobilisé comme fondement d’action.</w:t>
      </w:r>
    </w:p>
    <w:p>
      <w:pPr>
        <w:pStyle w:val="BodyText"/>
        <w:rPr/>
      </w:pPr>
      <w:r>
        <w:rPr>
          <w:b w:val="false"/>
          <w:bCs w:val="false"/>
        </w:rPr>
        <w:t xml:space="preserve">Son opérateur de validité n’est ni la révélation, ni le récit fondateur, ni l’ordre cosmique, ni la norme documentaire. Il est la preuve, ou plus largement la forme instituée du vrai : démonstration, classement, mesure, diagnostic, enquête, calcul, protocole, série, méthode. </w:t>
      </w:r>
      <w:r>
        <w:rPr/>
        <w:t>Ce qui fonde se déplace : du passé transmis, de la parole révélée ou de la trace inscrite vers ce qui peut être établi selon des règles reconnues de validation.</w:t>
      </w:r>
    </w:p>
    <w:p>
      <w:pPr>
        <w:pStyle w:val="BodyText"/>
        <w:rPr>
          <w:b w:val="false"/>
          <w:bCs w:val="false"/>
        </w:rPr>
      </w:pPr>
      <w:r>
        <w:rPr>
          <w:b w:val="false"/>
          <w:bCs w:val="false"/>
        </w:rPr>
        <w:t>Cette mutation ne doit pas être rabattue sur la science moderne. Des formes épistémiques puissantes existent bien avant la constitution moderne des sciences expérimentales. Listes lexicales mésopotamiennes, tables mathématiques babyloniennes, traités médicaux égyptiens, grammaire de Pāṇini, géométrie grecque, commentaires savants, écoles scribales ou traditions astronomiques ne relèvent pas du même monde. Ils deviennent comparables seulement par un trait morphologique : ils organisent le réel à travers des formats stabilisés de savoir.</w:t>
      </w:r>
    </w:p>
    <w:p>
      <w:pPr>
        <w:pStyle w:val="BodyText"/>
        <w:rPr/>
      </w:pPr>
      <w:r>
        <w:rPr>
          <w:b w:val="false"/>
          <w:bCs w:val="false"/>
        </w:rPr>
        <w:t xml:space="preserve">Dans ce méta-régime, l’arcalité se loge dans les structures d’intelligibilité. Nommer, classer, mesurer, diagnostiquer, démontrer ou formaliser ne sont pas des actes neutres. Ils découpent le monde, hiérarchisent les unités pertinentes, rendent certaines relations visibles et en laissent d’autres hors champ. </w:t>
      </w:r>
      <w:r>
        <w:rPr/>
        <w:t>Une liste lexicale conserve des mots et ordonne des voisinages. Une table mathématique rassemble des résultats et configure un espace d’opérations possibles. Un traité médical décrit des symptômes et relie signes, causes et interventions. Une grammaire codifie l’usage tout en définissant les conditions d’une parole correcte.</w:t>
      </w:r>
    </w:p>
    <w:p>
      <w:pPr>
        <w:pStyle w:val="BodyText"/>
        <w:rPr>
          <w:b w:val="false"/>
          <w:bCs w:val="false"/>
        </w:rPr>
      </w:pPr>
      <w:r>
        <w:rPr>
          <w:b w:val="false"/>
          <w:bCs w:val="false"/>
        </w:rPr>
        <w:t>La force épistémique tient donc à cette capacité de préformer le pensable. Le savoir n’intervient pas seulement après le monde, pour le représenter. Il institue des voies par lesquelles le monde devient identifiable, transmissible et traitable. L’arcalité épistémique ne réside pas dans une origine sacrée ou narrative ; elle réside dans la cohérence d’un dispositif de savoir capable de rendre le réel intelligible.</w:t>
      </w:r>
    </w:p>
    <w:p>
      <w:pPr>
        <w:pStyle w:val="BodyText"/>
        <w:rPr>
          <w:b w:val="false"/>
          <w:bCs w:val="false"/>
        </w:rPr>
      </w:pPr>
      <w:r>
        <w:rPr>
          <w:b w:val="false"/>
          <w:bCs w:val="false"/>
        </w:rPr>
        <w:t>Cette arcalité reste cependant insuffisante sans des opérateurs de transmission et d’application. La cratialité épistémique s’exerce par les lieux, les agents, les instruments et les procédures qui rendent le savoir effectif : scribes, médecins, astronomes, grammairiens, maîtres, commentateurs, écoles, bibliothèques, manuels, tables, diagrammes, instruments de mesure, exercices, examens, apprentissages. Le savoir devient pouvoir de régulation lorsqu’il est détenu, manié, certifié et distribué par des figures reconnues.</w:t>
      </w:r>
    </w:p>
    <w:p>
      <w:pPr>
        <w:pStyle w:val="BodyText"/>
        <w:rPr/>
      </w:pPr>
      <w:r>
        <w:rPr>
          <w:b w:val="false"/>
          <w:bCs w:val="false"/>
        </w:rPr>
        <w:t xml:space="preserve">Cette puissance n’agit pas nécessairement par contrainte visible. Elle agit parce que certains savent lire ce que d’autres ne lisent pas, calculer ce que d’autres ne calculent pas, diagnostiquer ce que d’autres ne reconnaissent pas, démontrer ce que d’autres ne peuvent établir. Interpréter, classer, mesurer, diagnostiquer ou formaliser deviennent des actes d’autorité. </w:t>
      </w:r>
      <w:r>
        <w:rPr/>
        <w:t>Le pouvoir réside ici dans la stabilisation des conditions de ce qui pourra être tenu pour vrai.</w:t>
      </w:r>
    </w:p>
    <w:p>
      <w:pPr>
        <w:pStyle w:val="BodyText"/>
        <w:rPr>
          <w:b w:val="false"/>
          <w:bCs w:val="false"/>
        </w:rPr>
      </w:pPr>
      <w:r>
        <w:rPr>
          <w:b w:val="false"/>
          <w:bCs w:val="false"/>
        </w:rPr>
        <w:t>Les écoles scribales mésopotamiennes en donnent une forme ancienne : l’accès à l’écriture, aux listes, aux exercices et aux corpus techniques instituait une division du travail cognitif. Dans d’autres contextes, écoles philosophiques grecques, milieux grammaticaux indiens, maisons savantes, madrasas ou universités médiévales, la compétence devient principe de hiérarchisation. Celui qui maîtrise le code, la méthode ou le corpus peut orienter l’interprétation du réel.</w:t>
      </w:r>
    </w:p>
    <w:p>
      <w:pPr>
        <w:pStyle w:val="BodyText"/>
        <w:rPr>
          <w:b w:val="false"/>
          <w:bCs w:val="false"/>
        </w:rPr>
      </w:pPr>
      <w:r>
        <w:rPr>
          <w:b w:val="false"/>
          <w:bCs w:val="false"/>
        </w:rPr>
        <w:t>Mais le méta-régime épistémique ne se réduit pas à la domination des savants. Sa spécificité se joue dans l’existence de scènes d’épreuve. L’archicration épistémique apparaît lorsque les énoncés, les preuves, les instruments, les classifications ou les méthodes peuvent être exposés à des procédures de validation, de correction, de contestation ou de révision. Un savoir devient régulateur au sens fort lorsqu’il peut être reconnu comme vrai à travers une épreuve réglée.</w:t>
      </w:r>
    </w:p>
    <w:p>
      <w:pPr>
        <w:pStyle w:val="BodyText"/>
        <w:rPr/>
      </w:pPr>
      <w:r>
        <w:rPr>
          <w:b w:val="false"/>
          <w:bCs w:val="false"/>
        </w:rPr>
        <w:t xml:space="preserve">Cette épreuve peut prendre des formes diverses : restitution correcte d’un corpus, validation d’un exercice, démonstration géométrique, controverse savante, commentaire autorisé, examen, certification, revue, répétition d’une mesure, recalibrage d’un instrument, confrontation d’un diagnostic, critique d’une classification. </w:t>
      </w:r>
      <w:r>
        <w:rPr/>
        <w:t>Le point commun tient à l’existence de seuils de recevabilité, plutôt qu’à l’uniformité des méthodes.</w:t>
      </w:r>
    </w:p>
    <w:p>
      <w:pPr>
        <w:pStyle w:val="BodyText"/>
        <w:rPr>
          <w:b w:val="false"/>
          <w:bCs w:val="false"/>
        </w:rPr>
      </w:pPr>
      <w:r>
        <w:rPr>
          <w:b w:val="false"/>
          <w:bCs w:val="false"/>
        </w:rPr>
        <w:t>Il faut donc distinguer l’autorité épistémique de la simple autorité sociale du savant. Une mesure ne devient pleinement épistémique que si elle peut être discutée, répétée, corrigée ou comparée à d’autres mesures. Une démonstration ne vaut que si ses étapes peuvent être reprises. Un diagnostic ne régule légitimement que s’il peut être confronté à des signes, à des méthodes et à d’autres lectures. Sans possibilité d’épreuve, le savoir se dégrade en prestige, en monopole ou en dogme technique.</w:t>
      </w:r>
    </w:p>
    <w:p>
      <w:pPr>
        <w:pStyle w:val="BodyText"/>
        <w:rPr>
          <w:b w:val="false"/>
          <w:bCs w:val="false"/>
        </w:rPr>
      </w:pPr>
      <w:r>
        <w:rPr>
          <w:b w:val="false"/>
          <w:bCs w:val="false"/>
        </w:rPr>
        <w:t>Les instruments occupent ici une position transversale. Ils relèvent de l’arcalité lorsqu’ils stabilisent un format recevable de preuve ; de la cratialité lorsqu’ils rendent l’enquête opératoire ; de l’archicration lorsqu’ils peuvent eux-mêmes être testés, recalibrés, contestés ou remplacés. Table, schéma, diagramme, astrolabe, instrument médical, dispositif de mesure, bibliothèque ou protocole ne sont pas de simples auxiliaires. Ils configurent la manière dont le vrai devient accessible et partageable.</w:t>
      </w:r>
    </w:p>
    <w:p>
      <w:pPr>
        <w:pStyle w:val="BodyText"/>
        <w:rPr>
          <w:b w:val="false"/>
          <w:bCs w:val="false"/>
        </w:rPr>
      </w:pPr>
      <w:r>
        <w:rPr>
          <w:b w:val="false"/>
          <w:bCs w:val="false"/>
        </w:rPr>
        <w:t>Le risque propre du méta-régime épistémique tient précisément à cette puissance. Lorsque les scènes d’épreuve se ferment, lorsque la critique devient fictive, lorsque les instruments ne peuvent plus être discutés, lorsque le langage savant devient pur filtre d’exclusion, la vérité instituée peut devenir autorité indiscutable. Le savoir continue alors de produire de l’ordre, mais il perd sa capacité de reprise.</w:t>
      </w:r>
    </w:p>
    <w:p>
      <w:pPr>
        <w:pStyle w:val="BodyText"/>
        <w:rPr>
          <w:b w:val="false"/>
          <w:bCs w:val="false"/>
        </w:rPr>
      </w:pPr>
      <w:r>
        <w:rPr>
          <w:b w:val="false"/>
          <w:bCs w:val="false"/>
        </w:rPr>
        <w:t>Il faut ici éviter deux simplifications. La première consisterait à sacraliser le savoir comme s’il échappait au pouvoir. La seconde consisterait à réduire toute vérité à un effet de domination. Que la vérité soit historiquement produite, validée et socialement distribuée ne signifie pas qu’elle se réduise à un simple effet de pouvoir. Cela signifie qu’aucun vrai ne régule sans médiations : instruments, protocoles, communautés, scènes d’épreuve, critères de recevabilité, possibilités de contestation.</w:t>
      </w:r>
    </w:p>
    <w:p>
      <w:pPr>
        <w:pStyle w:val="BodyText"/>
        <w:rPr>
          <w:b w:val="false"/>
          <w:bCs w:val="false"/>
        </w:rPr>
      </w:pPr>
      <w:r>
        <w:rPr>
          <w:b w:val="false"/>
          <w:bCs w:val="false"/>
        </w:rPr>
        <w:t>Le méta-régime épistémique ne confond donc pas vérité et pouvoir. Il montre que la vérité, pour devenir opérateur de co-viabilité, doit passer par des formes instituées d’objectivation, de transmission et de critique. Une société tient aussi parce qu’elle partage des manières de prouver, de classer, de mesurer, de diagnostiquer et de réviser ce qu’elle tient pour vrai.</w:t>
      </w:r>
    </w:p>
    <w:p>
      <w:pPr>
        <w:pStyle w:val="BodyText"/>
        <w:rPr>
          <w:b w:val="false"/>
          <w:bCs w:val="false"/>
        </w:rPr>
      </w:pPr>
      <w:r>
        <w:rPr>
          <w:b w:val="false"/>
          <w:bCs w:val="false"/>
        </w:rPr>
        <w:t>Sa spécificité apparaît par contraste. Contrairement au théologique, il ne fonde pas par fidélité à une parole révélée. Contrairement à l’historiographique, il ne fonde pas par continuité narrative du passé. Contrairement au scripturo-normatif, il ne fonde pas seulement par trace opposable ou obligation documentaire. Contrairement au scripturo-cosmologique, il ne vise pas d’abord l’accord avec un ordre du monde, mais la validation réglée d’énoncés sur le monde.</w:t>
      </w:r>
    </w:p>
    <w:p>
      <w:pPr>
        <w:pStyle w:val="BodyText"/>
        <w:rPr>
          <w:b w:val="false"/>
          <w:bCs w:val="false"/>
        </w:rPr>
      </w:pPr>
      <w:r>
        <w:rPr>
          <w:b w:val="false"/>
          <w:bCs w:val="false"/>
        </w:rPr>
        <w:t>Son opérateur de validité est donc la preuve, la méthode, le classement, la mesure ou la démonstration. Son locus de scène est l’école, le laboratoire au sens large, la bibliothèque, la controverse, l’examen, la table de calcul, l’instrument, le commentaire, la certification ou la communauté savante. Sa temporalité est celle de l’apprentissage, de la vérification, de la correction, de la cumulativité, de la controverse et de la révision.</w:t>
      </w:r>
    </w:p>
    <w:p>
      <w:pPr>
        <w:pStyle w:val="BodyText"/>
        <w:rPr>
          <w:b w:val="false"/>
          <w:bCs w:val="false"/>
        </w:rPr>
      </w:pPr>
      <w:r>
        <w:rPr>
          <w:b w:val="false"/>
          <w:bCs w:val="false"/>
        </w:rPr>
        <w:t>Le méta-régime archicratique épistémique mérite ainsi son autonomie. Il donne à la co-viabilité une forme cognitive : le commun y tient parce qu’il dispose de procédures reconnues pour produire, transmettre, éprouver et corriger des énoncés recevables comme vrais. L’ordre n’y est plus d’abord raconté, révélé, prescrit ou hérité ; il est établi, discuté, validé et repris selon des formes de savoir.</w:t>
      </w:r>
    </w:p>
    <w:p>
      <w:pPr>
        <w:pStyle w:val="BodyText"/>
        <w:rPr>
          <w:b w:val="false"/>
          <w:bCs w:val="false"/>
        </w:rPr>
      </w:pPr>
      <w:r>
        <w:rPr>
          <w:b w:val="false"/>
          <w:bCs w:val="false"/>
        </w:rPr>
        <w:t>Cette forme ouvre sur un autre seuil. Lorsque la régulation ne passe plus principalement par la validation du vrai, mais par la configuration des formes sensibles, des styles, des images, des matières, des rythmes et des manières de percevoir, on entre dans le méta-régime archicratique esthético-symbolique.</w:t>
      </w:r>
    </w:p>
    <w:p>
      <w:pPr>
        <w:pStyle w:val="Heading3"/>
        <w:numPr>
          <w:ilvl w:val="2"/>
          <w:numId w:val="2"/>
        </w:numPr>
        <w:rPr/>
      </w:pPr>
      <w:r>
        <w:rPr/>
        <w:t xml:space="preserve">2.2.9 — </w:t>
      </w:r>
      <w:r>
        <w:rPr>
          <w:i/>
          <w:iCs/>
        </w:rPr>
        <w:t>Le méta-régime archicratique esthético-symbolique</w:t>
      </w:r>
    </w:p>
    <w:p>
      <w:pPr>
        <w:pStyle w:val="BodyText"/>
        <w:rPr>
          <w:b w:val="false"/>
          <w:bCs w:val="false"/>
        </w:rPr>
      </w:pPr>
      <w:r>
        <w:rPr>
          <w:b w:val="false"/>
          <w:bCs w:val="false"/>
        </w:rPr>
        <w:t>Après le méta-régime épistémique, où la co-viabilité se règle par la validation des savoirs, un autre plan doit être distingué : celui des formes sensibles. Certaines sociétés, certains ordres ou certaines institutions ne stabilisent pas d’abord le commun par un récit, une preuve, une prescription ou une révélation, mais par la configuration réglée du visible, du sonore, du gestuel, du spatial ou du tactile.</w:t>
      </w:r>
    </w:p>
    <w:p>
      <w:pPr>
        <w:pStyle w:val="BodyText"/>
        <w:rPr>
          <w:b w:val="false"/>
          <w:bCs w:val="false"/>
        </w:rPr>
      </w:pPr>
      <w:r>
        <w:rPr>
          <w:b w:val="false"/>
          <w:bCs w:val="false"/>
        </w:rPr>
        <w:t>Le méta-régime archicratique esthético-symbolique désigne cette configuration dans laquelle les formes sensibles deviennent opérateurs de co-viabilité. Il ne s’agit pas d’ornement, ni d’expression culturelle secondaire, ni d’un simple accompagnement symbolique du pouvoir. Le sensible devient méta-régime lorsque des styles, des motifs, des postures, des rythmes, des architectures, des images ou des manières d’apparaître déterminent ce qui peut être reconnu comme convenable, digne, recevable, déplacé ou intolérable.</w:t>
      </w:r>
    </w:p>
    <w:p>
      <w:pPr>
        <w:pStyle w:val="BodyText"/>
        <w:rPr>
          <w:b w:val="false"/>
          <w:bCs w:val="false"/>
        </w:rPr>
      </w:pPr>
      <w:r>
        <w:rPr>
          <w:b w:val="false"/>
          <w:bCs w:val="false"/>
        </w:rPr>
        <w:t>La difficulté tient à ce que le sensible accompagne tous les autres méta-régimes. Il y a une esthétique du sacré, du politique, du théologique, du marchand, du guerrier et du savant. Mais cette présence ne suffit pas à constituer un méta-régime autonome. L’esthético-symbolique devient irréductible lorsque la configuration perceptive n’illustre plus seulement un ordre déjà fondé ailleurs, mais devient elle-même condition principale de recevabilité. L’ordre agit alors parce qu’il se donne sous une forme immédiatement reconnaissable.</w:t>
      </w:r>
    </w:p>
    <w:p>
      <w:pPr>
        <w:pStyle w:val="BodyText"/>
        <w:rPr>
          <w:b w:val="false"/>
          <w:bCs w:val="false"/>
        </w:rPr>
      </w:pPr>
      <w:r>
        <w:rPr>
          <w:b w:val="false"/>
          <w:bCs w:val="false"/>
        </w:rPr>
        <w:t>Son arcalité ne repose pas sur un principe explicitement formulé. Elle réside dans une économie partagée de la perception. Certaines formes paraissent justes, nobles, pures, harmonieuses, dignes ou naturelles ; d’autres paraissent vulgaires, discordantes, impures, ridicules ou menaçantes. Cette distinction ne dépend pas toujours d’une règle énoncée. Elle s’impose par répétition, familiarité, codification et reconnaissance collective. L’évidence sensible devient un fondement.</w:t>
      </w:r>
    </w:p>
    <w:p>
      <w:pPr>
        <w:pStyle w:val="BodyText"/>
        <w:rPr>
          <w:b w:val="false"/>
          <w:bCs w:val="false"/>
        </w:rPr>
      </w:pPr>
      <w:r>
        <w:rPr>
          <w:b w:val="false"/>
          <w:bCs w:val="false"/>
        </w:rPr>
        <w:t>Cette arcalité peut s’incarner dans des architectures, des motifs textiles, des décors muraux, des ornements corporels, des postures rituelles, des séquences chorégraphiques, des gabarits d’habitat, des rythmes cérémoniels ou des styles visuels reconnus. Des ensembles comme Cucuteni-Trypillia, certains dispositifs de la vallée de l’Indus, les motifs Lapita, les décors de Çatal Höyük ou les formes vestimentaires et ornementales de plusieurs mondes africains montrent, chacun dans des contextes très différents, que la répétition des formes peut produire un ordre perceptif partagé. Il ne s’agit pas de les rabattre sur un même modèle, mais de repérer une logique commune : la forme stabilise des appartenances, rend les écarts perceptibles et institue des seuils de convenance.</w:t>
      </w:r>
    </w:p>
    <w:p>
      <w:pPr>
        <w:pStyle w:val="BodyText"/>
        <w:rPr/>
      </w:pPr>
      <w:r>
        <w:rPr>
          <w:b w:val="false"/>
          <w:bCs w:val="false"/>
        </w:rPr>
        <w:t xml:space="preserve">Le style doit ici être entendu en un sens fort. Il ne désigne pas la préférence individuelle, ni la signature d’un créateur, ni un supplément décoratif. Il désigne une convenance stabilisée. Un style régule lorsqu’il rend immédiatement lisible ce qui appartient à un monde, ce qui s’en écarte, ce qui mérite reconnaissance ou ce qui appelle rejet. </w:t>
      </w:r>
      <w:r>
        <w:rPr/>
        <w:t>La forme cesse d’être un support d’expression pour devenir opérateur de tri.</w:t>
      </w:r>
    </w:p>
    <w:p>
      <w:pPr>
        <w:pStyle w:val="BodyText"/>
        <w:rPr>
          <w:b w:val="false"/>
          <w:bCs w:val="false"/>
        </w:rPr>
      </w:pPr>
      <w:r>
        <w:rPr>
          <w:b w:val="false"/>
          <w:bCs w:val="false"/>
        </w:rPr>
        <w:t>La cratialité esthético-symbolique s’exerce dans la capacité à produire, distribuer et maintenir les formes recevables. Ceux qui maîtrisent les codes du visible, du sonore, du geste ou de l’espace détiennent une puissance spécifique : ils ne commandent pas nécessairement, mais ils règlent les conditions d’apparition. Artisans, architectes, ordonnateurs de cérémonie, peintres, sculpteurs, tisserands, musiciens, danseurs, maîtres de protocole ou gardiens de répertoires formels peuvent orienter le monde commun en configurant ce qui s’y donne à voir, à entendre ou à éprouver.</w:t>
      </w:r>
    </w:p>
    <w:p>
      <w:pPr>
        <w:pStyle w:val="BodyText"/>
        <w:rPr>
          <w:b w:val="false"/>
          <w:bCs w:val="false"/>
        </w:rPr>
      </w:pPr>
      <w:r>
        <w:rPr>
          <w:b w:val="false"/>
          <w:bCs w:val="false"/>
        </w:rPr>
        <w:t>Cette puissance est souvent discrète. Elle n’interdit pas toujours explicitement. Elle rend certaines formes difficiles à soutenir, certaines apparences honteuses, certaines postures indignes, certaines dissonances immédiatement visibles. Le pouvoir ne réside pas seulement dans l’imposition d’un contenu ; il réside dans la maîtrise des conditions de l’apparaître. Ce qui est répété, montré, honoré, rythmé ou placé finit par s’imposer comme allant de soi.</w:t>
      </w:r>
    </w:p>
    <w:p>
      <w:pPr>
        <w:pStyle w:val="BodyText"/>
        <w:rPr>
          <w:b w:val="false"/>
          <w:bCs w:val="false"/>
        </w:rPr>
      </w:pPr>
      <w:r>
        <w:rPr>
          <w:b w:val="false"/>
          <w:bCs w:val="false"/>
        </w:rPr>
        <w:t>L’archicration esthético-symbolique apparaît lorsque cet ordre des formes devient objet de reprise, de tri, de défense ou de conflit. Tant que la convenance sensible s’impose sans friction, elle agit surtout comme cratialité diffuse. Mais lorsque les formes légitimes doivent être sélectionnées, protégées, réformées, interdites, contestées ou réintroduites, une scène d’épreuve s’ouvre. La question devient alors : qu’est-ce qui peut apparaître dans le monde commun, sous quelle forme, avec quelle dignité et selon quels seuils ?</w:t>
      </w:r>
    </w:p>
    <w:p>
      <w:pPr>
        <w:pStyle w:val="BodyText"/>
        <w:rPr>
          <w:b w:val="false"/>
          <w:bCs w:val="false"/>
        </w:rPr>
      </w:pPr>
      <w:r>
        <w:rPr>
          <w:b w:val="false"/>
          <w:bCs w:val="false"/>
        </w:rPr>
        <w:t>Cette scène peut prendre des formes très diverses : rite de présentation, cérémonie, codification vestimentaire, contrôle iconographique, sélection des images, réforme liturgique, canon artistique, règlement architectural, censure esthétique, iconoclasme, concours, école de style, protocole de cour, exposition, patrimonialisation. Dans tous ces cas, l’enjeu n’est pas seulement de produire des formes, mais de décider quelles formes peuvent faire autorité.</w:t>
      </w:r>
    </w:p>
    <w:p>
      <w:pPr>
        <w:pStyle w:val="BodyText"/>
        <w:rPr>
          <w:b w:val="false"/>
          <w:bCs w:val="false"/>
        </w:rPr>
      </w:pPr>
      <w:r>
        <w:rPr>
          <w:b w:val="false"/>
          <w:bCs w:val="false"/>
        </w:rPr>
        <w:t>L’iconoclasme byzantin, les épurations stylistiques post-tridentines, certaines limitations figuratives dans les mondes islamiques ou les conflits autour des images politiques montrent que les formes sensibles peuvent devenir des lieux d’épreuve majeure. Ce qui est disputé n’est pas seulement une image ; c’est le régime d’apparition du sacré, du pouvoir, du corps, du vrai ou du commun. La forme devient scène de conflit parce qu’elle engage les conditions mêmes du recevable.</w:t>
      </w:r>
    </w:p>
    <w:p>
      <w:pPr>
        <w:pStyle w:val="BodyText"/>
        <w:rPr>
          <w:b w:val="false"/>
          <w:bCs w:val="false"/>
        </w:rPr>
      </w:pPr>
      <w:r>
        <w:rPr>
          <w:b w:val="false"/>
          <w:bCs w:val="false"/>
        </w:rPr>
        <w:t>Les avant-gardes modernes rendent cette dimension encore plus explicite. Elles ne produisent pas seulement de nouveaux objets artistiques. Elles déplacent les seuils du visible, du lisible, du représentable et du supportable. Elles introduisent dans l’espace du recevable des formes auparavant disqualifiées, déstabilisent les hiérarchies perceptives, contestent les canons et révèlent que le sensible est lui-même un champ de régulation. Dans ces moments, l’esthético-symbolique cesse d’opérer à bas bruit ; il devient conflictuel.</w:t>
      </w:r>
    </w:p>
    <w:p>
      <w:pPr>
        <w:pStyle w:val="BodyText"/>
        <w:rPr>
          <w:b w:val="false"/>
          <w:bCs w:val="false"/>
        </w:rPr>
      </w:pPr>
      <w:r>
        <w:rPr>
          <w:b w:val="false"/>
          <w:bCs w:val="false"/>
        </w:rPr>
        <w:t>Le risque propre de ce méta-régime tient à la naturalisation du sensible. Parce que l’ordre esthétique agit souvent avant la justification, il peut faire passer une hiérarchie construite pour une évidence immédiate. Ce qui paraît noble, pur, harmonieux ou normal peut n’être que l’effet stabilisé d’un régime de formes. À l’inverse, lorsque les codes se saturent, se pluralisent ou se retournent contre eux-mêmes, le style peut perdre sa force régulatrice. Il demeure visible, mais cesse de faire ordre.</w:t>
      </w:r>
    </w:p>
    <w:p>
      <w:pPr>
        <w:pStyle w:val="BodyText"/>
        <w:rPr>
          <w:b w:val="false"/>
          <w:bCs w:val="false"/>
        </w:rPr>
      </w:pPr>
      <w:r>
        <w:rPr>
          <w:b w:val="false"/>
          <w:bCs w:val="false"/>
        </w:rPr>
        <w:t>Ces dégradations prennent plusieurs figures. Le méta-régime peut se figer en décor, lorsque la répétition conserve les signes sans maintenir leur puissance de reconnaissance. Il peut se saturer par excès d’ornement ou de codification. Il peut se fragmenter lorsque plusieurs grammaires sensibles concurrentes se disputent la légitimité. Il peut être retourné par la parodie, l’ironie ou la profanation, lorsque les codes du prestige deviennent les instruments de leur propre critique.</w:t>
      </w:r>
    </w:p>
    <w:p>
      <w:pPr>
        <w:pStyle w:val="BodyText"/>
        <w:rPr>
          <w:b w:val="false"/>
          <w:bCs w:val="false"/>
        </w:rPr>
      </w:pPr>
      <w:r>
        <w:rPr>
          <w:b w:val="false"/>
          <w:bCs w:val="false"/>
        </w:rPr>
        <w:t>Sa spécificité apparaît par contraste. Contrairement au théologique, il ne fonde pas par parole révélée. Contrairement à l’historiographique, il ne fonde pas par récit du passé. Contrairement à l’épistémique, il ne fonde pas par preuve ou méthode. Contrairement au normativo-politique, il ne fonde pas d’abord par norme explicite. Il agit en amont de l’énoncé, au niveau où le monde devient perceptivement acceptable ou dissonant.</w:t>
      </w:r>
    </w:p>
    <w:p>
      <w:pPr>
        <w:pStyle w:val="BodyText"/>
        <w:rPr>
          <w:b w:val="false"/>
          <w:bCs w:val="false"/>
        </w:rPr>
      </w:pPr>
      <w:r>
        <w:rPr>
          <w:b w:val="false"/>
          <w:bCs w:val="false"/>
        </w:rPr>
        <w:t>Son opérateur de validité est la forme reconnue comme convenable. Son locus de scène est l’espace où cette forme est produite, exposée, répétée, codifiée, disputée ou consacrée : rite, monument, image, vêtement, architecture, performance, cérémonie, atelier, école, espace urbain, exposition. Sa temporalité est celle de la répétition, de la canonisation, de l’imitation, de la variation réglée et de la transformation lente des sensibilités.</w:t>
      </w:r>
    </w:p>
    <w:p>
      <w:pPr>
        <w:pStyle w:val="BodyText"/>
        <w:rPr/>
      </w:pPr>
      <w:r>
        <w:rPr>
          <w:b w:val="false"/>
          <w:bCs w:val="false"/>
        </w:rPr>
        <w:t xml:space="preserve">Le méta-régime archicratique esthético-symbolique mérite donc son autonomie. </w:t>
      </w:r>
      <w:r>
        <w:rPr/>
        <w:t>Une société tient par ce qu’elle croit, raconte, prouve, prescrit ou organise matériellement. Elle tient aussi par ce qu’elle rend immédiatement reconnaissable, supportable, digne ou familier.</w:t>
      </w:r>
      <w:r>
        <w:rPr>
          <w:b w:val="false"/>
          <w:bCs w:val="false"/>
        </w:rPr>
        <w:t xml:space="preserve"> La co-viabilité suppose des formes de perception communes.</w:t>
      </w:r>
    </w:p>
    <w:p>
      <w:pPr>
        <w:pStyle w:val="BodyText"/>
        <w:rPr>
          <w:b w:val="false"/>
          <w:bCs w:val="false"/>
        </w:rPr>
      </w:pPr>
      <w:r>
        <w:rPr>
          <w:b w:val="false"/>
          <w:bCs w:val="false"/>
        </w:rPr>
        <w:t>Cette forme n’est pas secondaire. Elle accompagne souvent les autres méta-régimes, mais elle peut aussi les précéder, les renforcer, les infléchir ou les contester. Elle constitue une couche profonde de la régulation : celle où les conduites ne sont pas encore commandées, mais déjà orientées par la manière dont le monde apparaît.</w:t>
      </w:r>
    </w:p>
    <w:p>
      <w:pPr>
        <w:pStyle w:val="BodyText"/>
        <w:rPr>
          <w:b w:val="false"/>
          <w:bCs w:val="false"/>
        </w:rPr>
      </w:pPr>
      <w:r>
        <w:rPr>
          <w:b w:val="false"/>
          <w:bCs w:val="false"/>
        </w:rPr>
        <w:t>Le sensible devient alors un lieu archicratique à part entière. Ce qui peut apparaître, ce qui doit disparaître, ce qui mérite d’être vu, ce qui doit rester caché, ce qui semble harmonieux ou scandaleux, tout cela participe à la tenue du commun. L’ordre n’y est pas seulement formulé ; il est rendu perceptible.</w:t>
      </w:r>
    </w:p>
    <w:p>
      <w:pPr>
        <w:pStyle w:val="BodyText"/>
        <w:rPr>
          <w:b w:val="false"/>
          <w:bCs w:val="false"/>
        </w:rPr>
      </w:pPr>
      <w:r>
        <w:rPr>
          <w:b w:val="false"/>
          <w:bCs w:val="false"/>
        </w:rPr>
        <w:t>Cette configuration ouvre sur le méta-régime suivant. Lorsque l’obligation commune ne se stabilise plus principalement par la forme sensible, mais par l’édiction, la délibération, le contentieux et la révision publique de normes générales, on entre dans le méta-régime archicratique normativo-politique.</w:t>
      </w:r>
    </w:p>
    <w:p>
      <w:pPr>
        <w:pStyle w:val="Heading3"/>
        <w:numPr>
          <w:ilvl w:val="2"/>
          <w:numId w:val="2"/>
        </w:numPr>
        <w:rPr/>
      </w:pPr>
      <w:r>
        <w:rPr/>
        <w:t xml:space="preserve">2.2.10 — </w:t>
      </w:r>
      <w:r>
        <w:rPr>
          <w:i/>
          <w:iCs/>
        </w:rPr>
        <w:t>Le méta-régime archicratique normativo-politique</w:t>
      </w:r>
    </w:p>
    <w:p>
      <w:pPr>
        <w:pStyle w:val="BodyText"/>
        <w:rPr>
          <w:b w:val="false"/>
          <w:bCs w:val="false"/>
        </w:rPr>
      </w:pPr>
      <w:r>
        <w:rPr>
          <w:b w:val="false"/>
          <w:bCs w:val="false"/>
        </w:rPr>
        <w:t>Après le méta-régime esthético-symbolique, où la co-viabilité se règle par la configuration des formes sensibles, le méta-régime normativo-politique introduit un autre seuil. L’obligation commune y devient explicite, générale, imputable et révisable dans des scènes instituées. Le commun ne tient plus d’abord par l’évidence d’une forme, la fidélité à une source, la continuité d’un récit ou la validation d’un savoir. Il se donne des règles qu’il peut reconnaître comme siennes, discuter comme telles et reprendre dans des procédures déterminées.</w:t>
      </w:r>
    </w:p>
    <w:p>
      <w:pPr>
        <w:pStyle w:val="BodyText"/>
        <w:rPr>
          <w:b w:val="false"/>
          <w:bCs w:val="false"/>
        </w:rPr>
      </w:pPr>
      <w:r>
        <w:rPr>
          <w:b w:val="false"/>
          <w:bCs w:val="false"/>
        </w:rPr>
        <w:t>Le méta-régime archicratique normativo-politique désigne cette configuration dans laquelle une collectivité formule des normes générales opposables dans un cadre politique institué de décision, d’imputation et de contestation. Sa singularité ne tient pas à la simple existence d’une règle, d’un texte ou d’une autorité gouvernante. Elle tient à l’articulation de trois éléments : une norme générale adressée au commun, une instance profane habilitée à l’énoncer, une scène réglée où cette norme peut être contestée, amendée, suspendue ou reformulée.</w:t>
      </w:r>
    </w:p>
    <w:p>
      <w:pPr>
        <w:pStyle w:val="BodyText"/>
        <w:rPr>
          <w:b w:val="false"/>
          <w:bCs w:val="false"/>
        </w:rPr>
      </w:pPr>
      <w:r>
        <w:rPr>
          <w:b w:val="false"/>
          <w:bCs w:val="false"/>
        </w:rPr>
        <w:t>La différence avec le scripturo-normatif est décisive. Dans le scripturo-normatif, l’inscription stabilise l’obligation documentaire : contrat, registre, clause, preuve, dette, statut. Dans le normativo-politique, la norme vaut par son énonciation publique dans un espace politique reconnu. Elle n’est pas seulement conservée, attestée ou opposable ; elle se présente comme règle commune susceptible d’être reprise par ceux qu’elle engage.</w:t>
      </w:r>
    </w:p>
    <w:p>
      <w:pPr>
        <w:pStyle w:val="BodyText"/>
        <w:rPr>
          <w:b w:val="false"/>
          <w:bCs w:val="false"/>
        </w:rPr>
      </w:pPr>
      <w:r>
        <w:rPr>
          <w:b w:val="false"/>
          <w:bCs w:val="false"/>
        </w:rPr>
        <w:t>La différence avec le théologique et l’épistémique est tout aussi nette. La norme normativo-politique ne vaut pas par la provenance révélée d’une parole, ni par la démonstration d’un savoir. Elle vaut parce qu’elle est énoncée dans des formes publiques d’habilitation et demeure, au moins en principe, exposée à la contradiction.</w:t>
      </w:r>
    </w:p>
    <w:p>
      <w:pPr>
        <w:pStyle w:val="BodyText"/>
        <w:rPr>
          <w:b w:val="false"/>
          <w:bCs w:val="false"/>
        </w:rPr>
      </w:pPr>
      <w:r>
        <w:rPr>
          <w:b w:val="false"/>
          <w:bCs w:val="false"/>
        </w:rPr>
        <w:t>L’arcalité propre à ce méta-régime réside dans la formulation publique de normes générales. Lois, statuts, édits civiques, ordonnances collectives, déclarations de principes, constitutions, règles communales ou décisions d’assemblée deviennent des objets d’arcalité lorsqu’ils prétendent régler le commun sous une forme explicite, identifiable et révisable. Leur autorité ne procède ni de leur ancienneté brute, ni de leur sacralité, ni de leur seule inscription. Elle tient à leur statut de norme commune formulée dans un espace politique reconnu.</w:t>
      </w:r>
    </w:p>
    <w:p>
      <w:pPr>
        <w:pStyle w:val="BodyText"/>
        <w:rPr>
          <w:b w:val="false"/>
          <w:bCs w:val="false"/>
        </w:rPr>
      </w:pPr>
      <w:r>
        <w:rPr>
          <w:b w:val="false"/>
          <w:bCs w:val="false"/>
        </w:rPr>
        <w:t>Cette publicité ne doit pas être comprise comme simple affichage matériel. Elle transforme le statut de la règle. La norme devient un objet politique distinct : elle peut être citée, contestée, amendée, défendue, interprétée, abrogée. Elle ne circule plus seulement comme obligation locale ou décision ponctuelle ; elle prétend valoir pour un corps politique, une cité, une communauté civique, une république, un peuple, une institution ou un ensemble de sujets juridiquement reconnus.</w:t>
      </w:r>
    </w:p>
    <w:p>
      <w:pPr>
        <w:pStyle w:val="BodyText"/>
        <w:rPr>
          <w:b w:val="false"/>
          <w:bCs w:val="false"/>
        </w:rPr>
      </w:pPr>
      <w:r>
        <w:rPr>
          <w:b w:val="false"/>
          <w:bCs w:val="false"/>
        </w:rPr>
        <w:t>Plusieurs configurations historiques permettent d’en saisir la logique. À Athènes, la distinction entre nomos et décret ponctuel indique déjà la différence entre règle générale et décision circonstancielle. La graphè paranomôn rend possible la mise en cause d’une proposition contraire aux lois, montrant que la norme peut être exposée à une procédure de reprise. À Rome, la lex rogata, affichée, discutée et promulguée, donne à la règle une forme civique opposable. Dans les cités communales italiennes, les statuts municipaux constituent des ensembles de règles publiques, archivées, amendables, insérées dans des scènes de gouvernement urbain.</w:t>
      </w:r>
    </w:p>
    <w:p>
      <w:pPr>
        <w:pStyle w:val="BodyText"/>
        <w:rPr>
          <w:b w:val="false"/>
          <w:bCs w:val="false"/>
        </w:rPr>
      </w:pPr>
      <w:r>
        <w:rPr>
          <w:b w:val="false"/>
          <w:bCs w:val="false"/>
        </w:rPr>
        <w:t>D’autres mondes politiques, y compris sans écriture dominante ou sans institutions représentatives au sens moderne, peuvent également relever de ce méta-régime lorsque des conseils, assemblées ou autorités collectives formalisent des règles générales devant un groupe reconnu comme destinataire. L’enjeu n’est donc pas d’identifier une forme européenne du politique, mais de repérer un mode de co-viabilité dans lequel la norme commune devient formulable, imputable et révisable.</w:t>
      </w:r>
    </w:p>
    <w:p>
      <w:pPr>
        <w:pStyle w:val="BodyText"/>
        <w:rPr/>
      </w:pPr>
      <w:r>
        <w:rPr>
          <w:b w:val="false"/>
          <w:bCs w:val="false"/>
        </w:rPr>
        <w:t xml:space="preserve">La cratialité normativo-politique réside dans les instances habilitées à parler au nom du commun. Cette habilitation peut prendre des formes diverses : élection, tirage, mandat, délégation, magistrature, assemblée, conseil, autorité collégiale, procédure civique. </w:t>
      </w:r>
      <w:r>
        <w:rPr/>
        <w:t>Le point décisif réside dans la reconnaissance du droit d’énoncer une règle commune dans des formes politiques admises.</w:t>
      </w:r>
    </w:p>
    <w:p>
      <w:pPr>
        <w:pStyle w:val="BodyText"/>
        <w:rPr>
          <w:b w:val="false"/>
          <w:bCs w:val="false"/>
        </w:rPr>
      </w:pPr>
      <w:r>
        <w:rPr>
          <w:b w:val="false"/>
          <w:bCs w:val="false"/>
        </w:rPr>
        <w:t>Édicter une norme n’est donc pas simplement commander. C’est engager publiquement le collectif par une parole imputable. L’instance qui énonce n’agit ni comme relais d’une révélation, ni comme simple lecteur d’un ordre cosmique, ni comme expert détenteur du vrai. Elle intervient dans un espace où son acte peut être attribué, discuté, critiqué, repris. La cratialité normativo-politique est donc une puissance d’énonciation institutionnelle, profane et limitée.</w:t>
      </w:r>
    </w:p>
    <w:p>
      <w:pPr>
        <w:pStyle w:val="BodyText"/>
        <w:rPr>
          <w:b w:val="false"/>
          <w:bCs w:val="false"/>
        </w:rPr>
      </w:pPr>
      <w:r>
        <w:rPr>
          <w:b w:val="false"/>
          <w:bCs w:val="false"/>
        </w:rPr>
        <w:t>Cette limitation est essentielle. Une autorité politique qui édicte sans pouvoir être interrogée glisse vers d’autres formes de régulation : souveraineté fermée, technicisation administrative, sacralisation de la norme, ou pure contrainte. Dans le normativo-politique, l’acte de produire la règle suppose une scène où cette production demeure adressable. La norme oblige parce qu’elle a été politiquement formulée dans des conditions où sa contestation reste pensable.</w:t>
      </w:r>
    </w:p>
    <w:p>
      <w:pPr>
        <w:pStyle w:val="BodyText"/>
        <w:rPr>
          <w:b w:val="false"/>
          <w:bCs w:val="false"/>
        </w:rPr>
      </w:pPr>
      <w:r>
        <w:rPr>
          <w:b w:val="false"/>
          <w:bCs w:val="false"/>
        </w:rPr>
        <w:t>L’archicration normativo-politique apparaît lorsque la norme devient elle-même objet d’épreuve. Ce qui est discuté n’est pas seulement son application, son interprétation ou sa conformité documentaire ; c’est sa recevabilité comme obligation commune. Le désaccord n’y est pas un accident extérieur. Il devient l’un des moyens par lesquels la norme se maintient comme règle politique.</w:t>
      </w:r>
    </w:p>
    <w:p>
      <w:pPr>
        <w:pStyle w:val="BodyText"/>
        <w:rPr>
          <w:b w:val="false"/>
          <w:bCs w:val="false"/>
        </w:rPr>
      </w:pPr>
      <w:r>
        <w:rPr>
          <w:b w:val="false"/>
          <w:bCs w:val="false"/>
        </w:rPr>
        <w:t>Assemblées, appels, objections formalisées, procédures de révision, droits de veto, recours, contentieux constitutionnel, consultations contradictoires ou débats publics peuvent alors fonctionner comme scènes archicratives. Leur valeur ne tient pas à leur nom, ni à leur solennité, mais à leur capacité de donner prise à la contestation. Une assemblée sans effet peut être décorative. Un recours inaccessible peut être fictif. Un débat sans possibilité de modifier la norme peut n’être qu’une ritualisation de l’accord.</w:t>
      </w:r>
    </w:p>
    <w:p>
      <w:pPr>
        <w:pStyle w:val="BodyText"/>
        <w:rPr>
          <w:b w:val="false"/>
          <w:bCs w:val="false"/>
        </w:rPr>
      </w:pPr>
      <w:r>
        <w:rPr>
          <w:b w:val="false"/>
          <w:bCs w:val="false"/>
        </w:rPr>
        <w:t>La singularité du normativo-politique réside donc dans l’institution du différend. La contradiction n’y détruit pas nécessairement la norme ; elle peut en devenir la condition de tenue. Contester, amender, suspendre, réviser ou abroger ne signifie pas sortir du commun. Cela peut signifier y participer selon les formes reconnues de la reprise. Le conflit devient politiquement fécond lorsqu’il reçoit une forme qui lui permet d’atteindre la règle.</w:t>
      </w:r>
    </w:p>
    <w:p>
      <w:pPr>
        <w:pStyle w:val="BodyText"/>
        <w:rPr>
          <w:b w:val="false"/>
          <w:bCs w:val="false"/>
        </w:rPr>
      </w:pPr>
      <w:r>
        <w:rPr>
          <w:b w:val="false"/>
          <w:bCs w:val="false"/>
        </w:rPr>
        <w:t>Cette idée doit être maniée avec précision. Le normativo-politique ne célèbre pas toute opposition indifférenciée. Il ne confond pas dissension réglée, refus brut, obstruction ou violence de dissolution. Il transforme la contradiction en ressource de légitimation lorsqu’elle peut être instruite, formulée, adressée et susceptible de modifier l’obligation commune. La co-viabilité repose alors sur une tension : maintenir la règle tout en reconnaissant sa possible reprise.</w:t>
      </w:r>
    </w:p>
    <w:p>
      <w:pPr>
        <w:pStyle w:val="BodyText"/>
        <w:rPr>
          <w:b w:val="false"/>
          <w:bCs w:val="false"/>
        </w:rPr>
      </w:pPr>
      <w:r>
        <w:rPr>
          <w:b w:val="false"/>
          <w:bCs w:val="false"/>
        </w:rPr>
        <w:t>L’idéologie traverse ce méta-régime sans constituer un niveau autonome. Elle oriente les principes au nom desquels la norme se présente comme commune ; elle informe les politiques publiques, les instruments, les priorités et les récits de gouvernement ; elle configure les lignes de partage du conflit. Elle peut soutenir la dynamique normativo-politique en donnant langage aux différends. Elle peut aussi la déformer, lorsque la norme prétend parler au nom du commun tout en excluant certaines voix de la scène.</w:t>
      </w:r>
    </w:p>
    <w:p>
      <w:pPr>
        <w:pStyle w:val="BodyText"/>
        <w:rPr>
          <w:b w:val="false"/>
          <w:bCs w:val="false"/>
        </w:rPr>
      </w:pPr>
      <w:r>
        <w:rPr>
          <w:b w:val="false"/>
          <w:bCs w:val="false"/>
        </w:rPr>
        <w:t>Le risque propre du méta-régime normativo-politique tient précisément à cette dissociation entre forme publique et prise réelle. La norme peut rester affichée, votée, débattue, promulguée, tout en cessant d’être véritablement contestable. Les procédures peuvent subsister comme décor. Les scènes de révision peuvent être réservées de fait à quelques acteurs. La production normative peut être absorbée par des logiques expertes, administratives, économiques ou partisanes qui déplacent la décision hors de portée.</w:t>
      </w:r>
    </w:p>
    <w:p>
      <w:pPr>
        <w:pStyle w:val="BodyText"/>
        <w:rPr>
          <w:b w:val="false"/>
          <w:bCs w:val="false"/>
        </w:rPr>
      </w:pPr>
      <w:r>
        <w:rPr>
          <w:b w:val="false"/>
          <w:bCs w:val="false"/>
        </w:rPr>
        <w:t>Trois dérives sont particulièrement importantes.</w:t>
      </w:r>
    </w:p>
    <w:p>
      <w:pPr>
        <w:pStyle w:val="BodyText"/>
        <w:rPr>
          <w:b w:val="false"/>
          <w:bCs w:val="false"/>
        </w:rPr>
      </w:pPr>
      <w:r>
        <w:rPr>
          <w:b w:val="false"/>
          <w:bCs w:val="false"/>
        </w:rPr>
        <w:t>La première est la clôture de la norme. Ce qui devait demeurer amendable devient intangible, par sacralisation, routinisation ou verrouillage institutionnel.</w:t>
      </w:r>
    </w:p>
    <w:p>
      <w:pPr>
        <w:pStyle w:val="BodyText"/>
        <w:rPr>
          <w:b w:val="false"/>
          <w:bCs w:val="false"/>
        </w:rPr>
      </w:pPr>
      <w:r>
        <w:rPr>
          <w:b w:val="false"/>
          <w:bCs w:val="false"/>
        </w:rPr>
        <w:t>La deuxième est la technicisation. La règle garde son apparence politique, mais sa fabrication réelle passe sous le contrôle d’opérateurs experts, gestionnaires ou administratifs, qui réduisent la contradiction au nom de l’efficacité.</w:t>
      </w:r>
    </w:p>
    <w:p>
      <w:pPr>
        <w:pStyle w:val="BodyText"/>
        <w:rPr>
          <w:b w:val="false"/>
          <w:bCs w:val="false"/>
        </w:rPr>
      </w:pPr>
      <w:r>
        <w:rPr>
          <w:b w:val="false"/>
          <w:bCs w:val="false"/>
        </w:rPr>
        <w:t>La troisième est la ritualisation. La norme conserve ses formes solennelles, ses débats, ses votes, ses cérémonies, mais ces scènes ne modifient plus rien d’essentiel. L’archicration se vide alors en théâtre procédural.</w:t>
      </w:r>
    </w:p>
    <w:p>
      <w:pPr>
        <w:pStyle w:val="BodyText"/>
        <w:rPr>
          <w:b w:val="false"/>
          <w:bCs w:val="false"/>
        </w:rPr>
      </w:pPr>
      <w:r>
        <w:rPr>
          <w:b w:val="false"/>
          <w:bCs w:val="false"/>
        </w:rPr>
        <w:t>Ces dérives ne détruisent pas toujours le méta-régime. Elles en révèlent les conditions de possibilité. Pour qu’il reste effectif, trois éléments doivent demeurer articulés : la norme doit être publiquement formulée ; l’autorité qui l’édicte doit rester politiquement imputable ; la contradiction doit conserver une prise réelle sur la règle. Si l’un de ces éléments se défait, la norme peut persister, mais elle cesse de tenir selon le mode proprement normativo-politique.</w:t>
      </w:r>
    </w:p>
    <w:p>
      <w:pPr>
        <w:pStyle w:val="BodyText"/>
        <w:rPr>
          <w:b w:val="false"/>
          <w:bCs w:val="false"/>
        </w:rPr>
      </w:pPr>
      <w:r>
        <w:rPr>
          <w:b w:val="false"/>
          <w:bCs w:val="false"/>
        </w:rPr>
        <w:t>Ce méta-régime possède ainsi une architecture claire. Son opérateur de validité est la norme générale publiquement formulée. Son locus de scène est l’espace institué où cette norme est énoncée, débattue, contestée, amendée, jugée ou révisée : assemblée, conseil, tribunal, agora, parlement, procédure de recours, espace public organisé. Sa temporalité est celle du mandat, de la délibération, de la décision, du recours, de la réforme, de l’abrogation et de la jurisprudence.</w:t>
      </w:r>
    </w:p>
    <w:p>
      <w:pPr>
        <w:pStyle w:val="BodyText"/>
        <w:rPr>
          <w:b w:val="false"/>
          <w:bCs w:val="false"/>
        </w:rPr>
      </w:pPr>
      <w:r>
        <w:rPr>
          <w:b w:val="false"/>
          <w:bCs w:val="false"/>
        </w:rPr>
        <w:t>Sa spécificité apparaît par contraste. Contrairement au théologique, il ne fonde pas par parole révélée. Contrairement à l’épistémique, il ne fonde pas par preuve. Contrairement à l’historiographique, il ne fonde pas par filiation narrative. Contrairement au scripturo-normatif, il ne fonde pas par trace documentaire. Contrairement à l’esthético-symbolique, il ne fonde pas par convenance sensible. Il fonde par la formulation publique d’une obligation commune, dans des formes qui maintiennent ouverte sa possible reprise.</w:t>
      </w:r>
    </w:p>
    <w:p>
      <w:pPr>
        <w:pStyle w:val="BodyText"/>
        <w:rPr>
          <w:b w:val="false"/>
          <w:bCs w:val="false"/>
        </w:rPr>
      </w:pPr>
      <w:r>
        <w:rPr>
          <w:b w:val="false"/>
          <w:bCs w:val="false"/>
        </w:rPr>
        <w:t>Le méta-régime archicratique normativo-politique mérite donc son autonomie. Il montre qu’une collectivité peut se régler elle-même en reconnaissant que ses propres règles demeurent discutables. Sa force n’est pas de supprimer le conflit normatif, mais de lui donner une forme capable d’atteindre la règle sans dissoudre le commun. Le normativo-politique stabilise l’obligation en l’exposant.</w:t>
      </w:r>
    </w:p>
    <w:p>
      <w:pPr>
        <w:pStyle w:val="BodyText"/>
        <w:rPr>
          <w:b w:val="false"/>
          <w:bCs w:val="false"/>
        </w:rPr>
      </w:pPr>
      <w:r>
        <w:rPr>
          <w:b w:val="false"/>
          <w:bCs w:val="false"/>
        </w:rPr>
        <w:t>Il ne constitue pas l’horizon supérieur de la typologie. Il n’est pas la vérité finale du politique. Il désigne une matrice spécifique de co-viabilité : celle où le commun se rend capable de produire des normes générales, d’en assumer l’imputation et d’en organiser la contestation réglée.</w:t>
      </w:r>
    </w:p>
    <w:p>
      <w:pPr>
        <w:pStyle w:val="BodyText"/>
        <w:rPr>
          <w:b w:val="false"/>
          <w:bCs w:val="false"/>
        </w:rPr>
      </w:pPr>
      <w:r>
        <w:rPr>
          <w:b w:val="false"/>
          <w:bCs w:val="false"/>
        </w:rPr>
        <w:t>Cette configuration ouvre sur le méta-régime suivant. Lorsque la co-viabilité ne se règle plus principalement par la norme publique, mais par l’échange, le prix, la solvabilité, le contrat, la dette et l’arbitrage concurrentiel des valeurs, on entre dans le méta-régime archicratique marchand.</w:t>
      </w:r>
    </w:p>
    <w:p>
      <w:pPr>
        <w:pStyle w:val="Heading3"/>
        <w:numPr>
          <w:ilvl w:val="2"/>
          <w:numId w:val="2"/>
        </w:numPr>
        <w:rPr/>
      </w:pPr>
      <w:r>
        <w:rPr/>
        <w:t xml:space="preserve">2.2.11 — </w:t>
      </w:r>
      <w:r>
        <w:rPr>
          <w:i/>
          <w:iCs/>
        </w:rPr>
        <w:t>Le méta-régime archicratique marchand</w:t>
      </w:r>
    </w:p>
    <w:p>
      <w:pPr>
        <w:pStyle w:val="BodyText"/>
        <w:rPr/>
      </w:pPr>
      <w:r>
        <w:rPr/>
        <w:t>Après le méta-régime normativo-politique, où la co-viabilité se règle par la formulation publique de normes générales, le méta-régime marchand introduit une autre forme de tenue. Le commun n’y repose pas d’abord sur une règle adressée au corps politique, mais sur la possibilité d’établir, de reconnaître et de reprendre des équivalences entre acteurs distincts.</w:t>
      </w:r>
    </w:p>
    <w:p>
      <w:pPr>
        <w:pStyle w:val="BodyText"/>
        <w:rPr/>
      </w:pPr>
      <w:r>
        <w:rPr/>
        <w:t>Le méta-régime archicratique marchand ne doit pas être confondu avec le marché moderne autorégulé, ni avec une simple fonction économique d’échange. Il désigne une matrice de co-viabilité dans laquelle la relation entre parties séparées devient praticable par des formes stabilisées de valeur : poids, mesures, monnaies de compte, prix, gages, contrats, garanties, réputations, arbitrages, médiations et procédures de vérification.</w:t>
      </w:r>
    </w:p>
    <w:p>
      <w:pPr>
        <w:pStyle w:val="BodyText"/>
        <w:rPr/>
      </w:pPr>
      <w:r>
        <w:rPr/>
        <w:t>Son opérateur de validité n’est ni la loi générale, ni la révélation, ni la preuve savante, ni la mémoire dynastique. Il est l’équivalence recevable. Une chose, un service, une dette, une promesse ou un engagement ne valent pas parce qu’ils posséderaient naturellement une valeur absolue. Ils valent parce qu’ils peuvent être inscrits dans un espace de comparaison reconnu, où des parties acceptent, discutent ou réajustent ce qui peut tenir lieu de contrepartie.</w:t>
      </w:r>
    </w:p>
    <w:p>
      <w:pPr>
        <w:pStyle w:val="BodyText"/>
        <w:rPr/>
      </w:pPr>
      <w:r>
        <w:rPr/>
        <w:t>Cette équivalence n’est jamais une donnée brute. Elle est construite, située, médiée. Le grain, le métal, le tissu, le sel, le bétail, la monnaie, la dette ou le crédit ne deviennent opérateurs marchands que lorsqu’ils peuvent entrer dans des formes de comparabilité praticables. Le méta-régime marchand ne découvre pas une vérité cachée de la valeur ; il institue une surface sociale où des biens, des services ou des engagements hétérogènes peuvent devenir convertibles.</w:t>
      </w:r>
    </w:p>
    <w:p>
      <w:pPr>
        <w:pStyle w:val="BodyText"/>
        <w:rPr/>
      </w:pPr>
      <w:r>
        <w:rPr/>
        <w:t>La différence avec le normativo-politique est décisive. Dans le normativo-politique, la scène porte sur la recevabilité d’une règle commune. Dans le marchand, elle porte sur la recevabilité d’une équivalence entre parties distinctes. Des garanties, des médiations, des arbitrages et des règles peuvent exister dans les deux cas, mais ils ne valent pas pour la même raison. Ici, ils servent d’abord à rendre l’échange praticable, à éviter la rupture du lien, à restaurer la confiance dans la comparabilité.</w:t>
      </w:r>
    </w:p>
    <w:p>
      <w:pPr>
        <w:pStyle w:val="BodyText"/>
        <w:rPr/>
      </w:pPr>
      <w:r>
        <w:rPr/>
        <w:t>Plusieurs configurations historiques permettent d’en saisir la logique. À Sumer, l’usage du shekel d’argent comme monnaie de compte et de l’orge comme référence d’équivalence permet d’adosser prêts, dettes et contrats à des formes stabilisées de calcul. Dans certains réseaux ouest-africains liés à l’or, les poids codifiés, les balances, les objets de mesure et les médiateurs marchands ne sont pas de simples outils techniques : ils rendent possible une reconnaissance partagée de la valeur. Dans les républiques marchandes méditerranéennes, balances publiques, tables de conversion, sceaux de certification et chambres des poids donnent à l’équivalence une visibilité vérifiable.</w:t>
      </w:r>
    </w:p>
    <w:p>
      <w:pPr>
        <w:pStyle w:val="BodyText"/>
        <w:rPr/>
      </w:pPr>
      <w:r>
        <w:rPr/>
        <w:t>Dans tous ces cas, l’arcalité marchande ne fixe pas un prix absolu. Elle institue les conditions pratiques de la reconnaissance. Ce qui fonde l’ordre marchand n’est pas la chose échangée, mais la forme sous laquelle elle peut valoir pour d’autres. Le marché, en ce sens, n’est pas seulement un lieu de circulation. Il est une scène où des engagements deviennent comparables.</w:t>
      </w:r>
    </w:p>
    <w:p>
      <w:pPr>
        <w:pStyle w:val="BodyText"/>
        <w:rPr/>
      </w:pPr>
      <w:r>
        <w:rPr/>
        <w:t>Cette logique n’implique pas que le marchand soit indépendant du politique, du juridique, du religieux ou du symbolique. Aucun marché réel ne flotte hors des institutions, des normes, des croyances ou des rapports de force. Mais ces appuis ne constituent pas toujours le fondement propre de la scène marchande. Ils peuvent en sécuriser les conditions, garantir les procédures, sanctionner les fraudes ou protéger certains acteurs, tandis que le principe de validité demeure l’équivalence praticable.</w:t>
      </w:r>
    </w:p>
    <w:p>
      <w:pPr>
        <w:pStyle w:val="BodyText"/>
        <w:rPr/>
      </w:pPr>
      <w:r>
        <w:rPr/>
        <w:t>La cratialité marchande réside dans les médiations qui rendent cette équivalence effective. Le marchand ne fonctionne pas sans tiers, sans instruments, sans vérification, sans réputation, sans formes de garantie. Changeurs, courtiers, peseurs assermentés, juges de foire, inspecteurs de marché, syndics, garants, médiateurs ou arbitres n’exercent pas nécessairement une souveraineté. Ils maintiennent la scène en état de fonctionner.</w:t>
      </w:r>
    </w:p>
    <w:p>
      <w:pPr>
        <w:pStyle w:val="BodyText"/>
        <w:rPr/>
      </w:pPr>
      <w:r>
        <w:rPr/>
        <w:t>Les foires de Champagne offrent un exemple classique de cette cratialité. Les litiges y sont traités par des formes rapides d’arbitrage marchand, dont la légitimité tient à leur capacité à restaurer une équivalence acceptable entre les parties. Dans les villes musulmanes, le muḥtasib intervient sur les poids, les mesures, la qualité des biens et certains différends, non pour produire souverainement la loi, mais pour maintenir la justesse pratique des échanges. Dans plusieurs marchés africains, des courtiers ou médiateurs reconnus traduisent les usages, vérifient les équivalences et rendent possible l’accord entre acteurs hétérogènes.</w:t>
      </w:r>
    </w:p>
    <w:p>
      <w:pPr>
        <w:pStyle w:val="BodyText"/>
        <w:rPr/>
      </w:pPr>
      <w:r>
        <w:rPr/>
        <w:t>Cette cratialité est une puissance d’entre-deux. Elle ne commande pas depuis un centre. Elle ne démontre pas une vérité. Elle ne révèle pas une norme. Elle garantit que la relation peut continuer malgré l’incertitude, le désaccord, la distance ou la méfiance. Sa force tient à la confiance réglée qu’elle inspire : confiance dans les poids, dans la mesure, dans le médiateur, dans la réputation, dans la possibilité de reprise.</w:t>
      </w:r>
    </w:p>
    <w:p>
      <w:pPr>
        <w:pStyle w:val="BodyText"/>
        <w:rPr/>
      </w:pPr>
      <w:r>
        <w:rPr/>
        <w:t>La confiance, ici, n’est pas un supplément moral. Elle est un opérateur interne du méta-régime. Non une confiance vague ou naïve, mais une confiance procédurale, produite par la répétition d’épreuves réussies, la stabilité relative des instruments, la reconnaissance des tiers et la possibilité de traiter la fraude ou le litige. Le marchand ne supprime pas la défiance ; il la rend traitable.</w:t>
      </w:r>
    </w:p>
    <w:p>
      <w:pPr>
        <w:pStyle w:val="BodyText"/>
        <w:rPr/>
      </w:pPr>
      <w:r>
        <w:rPr/>
        <w:t>L’archicration marchande apparaît lorsque l’équivalence devient litigieuse. Ce qui est alors mis à l’épreuve n’est pas une vérité doctrinale, une norme générale ou une fidélité à une source, mais la recevabilité concrète d’un prix, d’un poids, d’une qualité, d’une dette, d’une promesse ou d’une garantie. Le litige n’est pas extérieur au marchand. Il en révèle la structure : la valeur doit pouvoir être rejouée.</w:t>
      </w:r>
    </w:p>
    <w:p>
      <w:pPr>
        <w:pStyle w:val="BodyText"/>
        <w:rPr/>
      </w:pPr>
      <w:r>
        <w:rPr/>
        <w:t>Cette reprise peut passer par la repesée, le témoignage, l’expertise locale, la comparaison, le recours à un médiateur, l’appel à un précédent, la réputation du vendeur, la vérification de la qualité, la renégociation de la dette ou l’arbitrage d’un contrat. La scène marchande vaut archicratiquement lorsqu’elle transforme le désaccord sur la valeur en épreuve de recalibrage du lien.</w:t>
      </w:r>
    </w:p>
    <w:p>
      <w:pPr>
        <w:pStyle w:val="BodyText"/>
        <w:rPr/>
      </w:pPr>
      <w:r>
        <w:rPr/>
        <w:t>Sa singularité tient donc à ceci : la co-viabilité marchande ne vise pas l’unanimité. Elle vise un accord suffisamment recevable pour que les parties puissent continuer à se reconnaître comme partenaires possibles. L’échange ne suppose ni fusion symbolique, ni foi commune, ni appartenance politique partagée. Il suppose une scène où la distance entre acteurs peut être convertie en relation réglée.</w:t>
      </w:r>
    </w:p>
    <w:p>
      <w:pPr>
        <w:pStyle w:val="BodyText"/>
        <w:rPr/>
      </w:pPr>
      <w:r>
        <w:rPr/>
        <w:t>C’est pourquoi le marchand ne doit pas être idéalisé comme pure réciprocité. Il peut produire de la co-viabilité, mais il peut aussi reproduire des asymétries profondes. Tous les acteurs n’accèdent pas également aux instruments de mesure, aux garanties, aux médiateurs, au crédit, à la réputation ou aux scènes d’arbitrage. Certains ne comparaissent dans l’échange que comme dépendants, débiteurs, étrangers tolérés, acteurs subalternes ou partenaires faiblement reconnus.</w:t>
      </w:r>
    </w:p>
    <w:p>
      <w:pPr>
        <w:pStyle w:val="BodyText"/>
        <w:rPr/>
      </w:pPr>
      <w:r>
        <w:rPr/>
        <w:t>Le risque propre du méta-régime marchand tient donc à la rupture ou à la confiscation de la scène d’équivalence. Une première dérive est la rupture de confiance : poids falsifiés, monnaies discréditées, garanties inopérantes, médiateurs corrompus, disparition des tiers fiables. Dans ce cas, l’échange ne parvient plus à rejouer l’équivalence.</w:t>
      </w:r>
    </w:p>
    <w:p>
      <w:pPr>
        <w:pStyle w:val="BodyText"/>
        <w:rPr/>
      </w:pPr>
      <w:r>
        <w:rPr/>
        <w:t>Une deuxième dérive est l’absorption politico-technique. La valeur n’est plus négociée ni éprouvée dans une scène marchande, mais fixée par décret, monopole, calcul administratif, plateforme, algorithme ou dispositif logistique. L’apparence de l’échange demeure, mais la scène d’ajustement se déplace hors de portée.</w:t>
      </w:r>
    </w:p>
    <w:p>
      <w:pPr>
        <w:pStyle w:val="BodyText"/>
        <w:rPr/>
      </w:pPr>
      <w:r>
        <w:rPr/>
        <w:t>Une troisième dérive est la requalification symbolique ou théologique. Certaines marchandises, certaines pratiques ou certains acteurs cessent d’être discutables comme éléments d’échange parce qu’ils sont jugés impurs, sacrés, indignes, nobles, infâmes ou intouchables selon un autre méta-régime.</w:t>
      </w:r>
    </w:p>
    <w:p>
      <w:pPr>
        <w:pStyle w:val="BodyText"/>
        <w:rPr/>
      </w:pPr>
      <w:r>
        <w:rPr/>
        <w:t>Une quatrième dérive, plus profonde, est l’exclusion de partenaires réputés non recevables. Lorsque certains sujets ne peuvent pas apparaître comme acteurs légitimes de l’échange, la relation marchande tend vers la prédation, la dépendance asymétrique ou l’extraction. Le marché peut rester actif pour certains tout en cessant d’être archicratiquement praticable pour d’autres.</w:t>
      </w:r>
    </w:p>
    <w:p>
      <w:pPr>
        <w:pStyle w:val="BodyText"/>
        <w:rPr/>
      </w:pPr>
      <w:r>
        <w:rPr/>
        <w:t>Cette limite doit rester au centre de l’analyse. Le marchand n’est pas un espace naturellement ouvert. Il peut être souple, mobile, inventif, et pourtant hiérarchisé, sélectif, fermé. Sa puissance régulatrice dépend de la distribution effective des capacités de comparution : qui peut négocier ? qui peut contester ? qui peut faire reconnaître la qualité d’un bien, l’existence d’une dette, la validité d’un poids, l’injustice d’un prix, la faillite d’une garantie ?</w:t>
      </w:r>
    </w:p>
    <w:p>
      <w:pPr>
        <w:pStyle w:val="BodyText"/>
        <w:rPr/>
      </w:pPr>
      <w:r>
        <w:rPr/>
        <w:t>Le méta-régime marchand mérite son autonomie parce qu’il ne se réduit ni à la loi, ni à la souveraineté, ni à la logistique, ni au savoir, ni au sacré. Son opérateur de validité est l’équivalence recevable. Son locus de scène est le marché, la foire, le contrat, la table de conversion, la balance, la chambre des poids, le lieu d’arbitrage, le réseau de crédit ou la médiation transactionnelle. Sa temporalité est celle de l’échange, du crédit, de la dette, du risque, de la réputation, de l’échéance et de la renégociation.</w:t>
      </w:r>
    </w:p>
    <w:p>
      <w:pPr>
        <w:pStyle w:val="BodyText"/>
        <w:rPr/>
      </w:pPr>
      <w:r>
        <w:rPr/>
        <w:t>Il montre qu’une société peut produire de la co-viabilité entre acteurs distincts sans exiger d’eux une identité commune, une foi commune, une vérité commune ou une règle politique générale comme fondement premier. La relation tient par la possibilité organisée de rendre des engagements mutuellement recevables.</w:t>
      </w:r>
    </w:p>
    <w:p>
      <w:pPr>
        <w:pStyle w:val="BodyText"/>
        <w:rPr/>
      </w:pPr>
      <w:r>
        <w:rPr/>
        <w:t>Le marchand institue ainsi une forme subtile de distance réglée. Il ne supprime pas l’écart entre les parties ; il le rend opérable. Il ne promet pas la justice de toute transaction ; il offre une scène où la valeur peut être reconnue, contestée et reprise. Sa puissance tient dans cette capacité à transformer l’incertitude de l’échange en relation durablement praticable.</w:t>
      </w:r>
    </w:p>
    <w:p>
      <w:pPr>
        <w:pStyle w:val="BodyText"/>
        <w:rPr/>
      </w:pPr>
      <w:r>
        <w:rPr/>
        <w:t>Mais cette grammaire transactionnelle n’épuise pas toutes les formes d’épreuve du lien social. Lorsque ce n’est plus la valeur qui se négocie, mais l’appartenance, la menace, l’honneur, la vulnérabilité, l’alliance et l’exposition des corps, une autre configuration apparaît : le méta-régime archicratique guerrier.</w:t>
      </w:r>
    </w:p>
    <w:p>
      <w:pPr>
        <w:pStyle w:val="Heading3"/>
        <w:numPr>
          <w:ilvl w:val="2"/>
          <w:numId w:val="2"/>
        </w:numPr>
        <w:rPr/>
      </w:pPr>
      <w:r>
        <w:rPr/>
        <w:t xml:space="preserve">2.2.12 — </w:t>
      </w:r>
      <w:r>
        <w:rPr>
          <w:i/>
          <w:iCs/>
        </w:rPr>
        <w:t>Le méta-régime archicratique guerrier</w:t>
      </w:r>
    </w:p>
    <w:p>
      <w:pPr>
        <w:pStyle w:val="BodyText"/>
        <w:rPr/>
      </w:pPr>
      <w:r>
        <w:rPr/>
        <w:t>Après le méta-régime marchand, où la co-viabilité se règle par l’équivalence contestable entre acteurs distincts, le méta-régime guerrier introduit une autre forme d’épreuve. Ici, ce n’est plus la valeur qui est rejouée, mais l’appartenance, l’honneur, la loyauté, l’autorité et l’exposition des corps au risque.</w:t>
      </w:r>
    </w:p>
    <w:p>
      <w:pPr>
        <w:pStyle w:val="BodyText"/>
        <w:rPr/>
      </w:pPr>
      <w:r>
        <w:rPr/>
        <w:t>Le méta-régime archicratique guerrier ne désigne ni la guerre comme destruction pure, ni la violence de prédation, ni la guerre étatique moderne administrée par un appareil centralisé. Il désigne une configuration dans laquelle l’affrontement, lorsqu’il est codifié, visible et socialement reconnu, devient opérateur de différenciation et de tenue du lien collectif. La violence n’y suffit jamais. Elle ne devient archicratiquement guerrière que lorsqu’elle prend la forme d’une épreuve lisible.</w:t>
      </w:r>
    </w:p>
    <w:p>
      <w:pPr>
        <w:pStyle w:val="BodyText"/>
        <w:rPr/>
      </w:pPr>
      <w:r>
        <w:rPr/>
        <w:t>Son opérateur de validité est l’exposition reconnue au risque. Ce qui fonde n’est pas la victoire brute, ni l’anéantissement de l’adversaire, ni la simple capacité de nuire. Ce qui fonde est la reconnaissance d’une conduite tenue dans l’épreuve : courage, endurance, loyauté, maîtrise, fidélité au groupe, capacité à tenir sa place. Le corps exposé devient preuve, mais seulement dans un cadre où cette exposition peut être interprétée comme digne, valable ou statutairement significative.</w:t>
      </w:r>
    </w:p>
    <w:p>
      <w:pPr>
        <w:pStyle w:val="BodyText"/>
        <w:rPr/>
      </w:pPr>
      <w:r>
        <w:rPr/>
        <w:t>Cette précision est décisive. Toute violence n’est pas guerrière au sens archicratique. Un massacre, une razzia, une vengeance incontrôlée, une exécution administrative ou une opération militaire purement instrumentale peuvent relever de la guerre au sens factuel sans constituer un méta-régime guerrier autonome. Il faut que le conflit soit institué comme scène de reconnaissance. Il faut que l’épreuve engage les places, les qualités, les appartenances et les formes admises du courage.</w:t>
      </w:r>
    </w:p>
    <w:p>
      <w:pPr>
        <w:pStyle w:val="BodyText"/>
        <w:rPr/>
      </w:pPr>
      <w:r>
        <w:rPr/>
        <w:t>L’arcalité guerrière repose donc sur une matrice de distinction. Armes personnelles, marques corporelles, trophées, insignes, récits de bataille, noms d’honneur, chants de gloire, emblèmes, lignées combattantes ou rites d’entrée dans le groupe ne valent pas seulement comme ornements. Ils matérialisent une reconnaissance acquise dans l’exposition au danger. Ils rendent visible ce qui a été tenu, subi, affronté ou prouvé.</w:t>
      </w:r>
    </w:p>
    <w:p>
      <w:pPr>
        <w:pStyle w:val="BodyText"/>
        <w:rPr/>
      </w:pPr>
      <w:r>
        <w:rPr/>
        <w:t>Plusieurs configurations historiques permettent d’en saisir la logique, sans les rabattre sur un même modèle. Dans la chevalerie médiévale, l’adoubement, le blason, l’épée, la prouesse et la fidélité au seigneur situent le combattant dans un ordre d’honneur. Dans la Grèce hoplitique, tenir sa place dans la phalange lie exposition corporelle et appartenance civique. Dans certains mondes lignagers ou segmentaires, des titres, marques ou récits guerriers peuvent attester une capacité reconnue à défendre, venger ou soutenir le groupe. Dans le Japon féodal, l’arme, la discipline et la loyauté s’inscrivent dans une grammaire de reconnaissance combattante.</w:t>
      </w:r>
    </w:p>
    <w:p>
      <w:pPr>
        <w:pStyle w:val="BodyText"/>
        <w:rPr/>
      </w:pPr>
      <w:r>
        <w:rPr/>
        <w:t>Ces exemples ne prouvent pas l’unité d’une culture guerrière universelle. Ils indiquent une forme morphologique commune : le statut peut dépendre d’une épreuve reconnue du risque. Le combat devient scène où des places sont confirmées, contestées ou redistribuées.</w:t>
      </w:r>
    </w:p>
    <w:p>
      <w:pPr>
        <w:pStyle w:val="BodyText"/>
        <w:rPr/>
      </w:pPr>
      <w:r>
        <w:rPr/>
        <w:t>La cratialité guerrière s’exerce dans les figures capables d’assumer, de conduire ou de garantir cette épreuve. Chefs de guerre, capitaines, champions, anciens combattants reconnus, porteurs d’armes, maîtres de discipline ou gardiens de codes d’honneur ne tirent pas principalement leur autorité d’un texte, d’un mandat abstrait ou d’un savoir formel. Ils la tirent de leur capacité reconnue à porter le conflit, à s’exposer, à tenir leur rang et à engager les autres dans une scène dont ils connaissent les règles.</w:t>
      </w:r>
    </w:p>
    <w:p>
      <w:pPr>
        <w:pStyle w:val="BodyText"/>
        <w:rPr/>
      </w:pPr>
      <w:r>
        <w:rPr/>
        <w:t>Cette autorité est intense, mais précaire. Intense, parce qu’elle engage directement la vie, le courage et la capacité à soutenir le collectif dans une situation limite. Précaire, parce qu’elle peut être remise en cause si l’épreuve n’est plus assumée, si la lâcheté est reconnue, si le chef refuse le risque qu’il impose aux autres, ou si la conduite viole les formes admises de l’affrontement. L’autorité guerrière ne se possède jamais absolument ; elle doit pouvoir être confirmée par la mémoire de l’épreuve ou par sa possible réactivation.</w:t>
      </w:r>
    </w:p>
    <w:p>
      <w:pPr>
        <w:pStyle w:val="BodyText"/>
        <w:rPr/>
      </w:pPr>
      <w:r>
        <w:rPr/>
        <w:t>C’est ce qui distingue le méta-régime guerrier d’une simple domination violente. La domination impose. L’épreuve guerrière reconnue expose. Elle suppose des formes partagées de lisibilité : qui combat, contre qui, selon quelles armes, dans quelles limites, devant quels témoins, selon quels signes de courage ou d’indignité. Lorsque ces formes disparaissent, la guerre peut continuer, mais elle glisse vers la prédation, la terreur ou l’administration de la violence.</w:t>
      </w:r>
    </w:p>
    <w:p>
      <w:pPr>
        <w:pStyle w:val="BodyText"/>
        <w:rPr/>
      </w:pPr>
      <w:r>
        <w:rPr/>
        <w:t>L’archicration guerrière apparaît lorsque le différend est porté dans une scène d’épreuve capable de produire une reconnaissance. Duel réglé, combat rituel, affrontement encadré, défi, mêlée codifiée, tournoi encore risqué, épreuve initiatique guerrière ou bataille interprétée selon des règles d’honneur : ces scènes ne suppriment pas le conflit. Elles lui donnent une forme dans laquelle le résultat peut être reconnu comme significatif.</w:t>
      </w:r>
    </w:p>
    <w:p>
      <w:pPr>
        <w:pStyle w:val="BodyText"/>
        <w:rPr/>
      </w:pPr>
      <w:r>
        <w:rPr/>
        <w:t>Cette reconnaissance ne garantit pas la justice au sens normatif. Elle ne produit pas une vérité, ni une loi commune, ni une preuve savante. Elle produit une issue recevable dans un ordre où le risque a valeur de validation. Le combat tranche parce qu’il expose. Il rend visible une capacité, une fidélité, une endurance ou une défaillance.</w:t>
      </w:r>
    </w:p>
    <w:p>
      <w:pPr>
        <w:pStyle w:val="BodyText"/>
        <w:rPr/>
      </w:pPr>
      <w:r>
        <w:rPr/>
        <w:t>La scène guerrière transforme ainsi l’incertitude du conflit en opérateur de régulation. L’issue n’est pas connue d’avance, mais cette incertitude appartient à la forme même de l’épreuve. Le risque est nécessaire : sans lui, il ne reste qu’une représentation du courage. La codification est nécessaire elle aussi : sans elle, il ne reste qu’une violence sans reconnaissance.</w:t>
      </w:r>
    </w:p>
    <w:p>
      <w:pPr>
        <w:pStyle w:val="BodyText"/>
        <w:rPr/>
      </w:pPr>
      <w:r>
        <w:rPr/>
        <w:t>Le méta-régime guerrier repose donc sur une tension fragile : codifier la violence sans la neutraliser ; maintenir le risque sans le laisser devenir massacre ; produire de la reconnaissance sans réduire l’adversaire à une pure chose à détruire. L’adversaire, dans cette logique, n’est pas seulement un obstacle. Il est celui par qui l’épreuve devient possible. Lorsqu’il cesse d’être reconnu comme adversaire pour devenir cible absolue, impur, traître ontologique ou déchet à éliminer, le méta-régime guerrier se défait au profit d’un autre régime de violence.</w:t>
      </w:r>
    </w:p>
    <w:p>
      <w:pPr>
        <w:pStyle w:val="BodyText"/>
        <w:rPr/>
      </w:pPr>
      <w:r>
        <w:rPr/>
        <w:t>Il faut ici distinguer les codes guerriers des juridicisations modernes de la guerre. Les conventions encadrant les conflits armés relèvent principalement d’une logique normativo-politique : elles cherchent à limiter la violence par des règles générales opposables. Les codes proprement guerriers, eux, n’ont une portée archicratique que lorsqu’ils structurent une scène où l’exposition au risque vaut comme fondement de statut, d’honneur, d’autorité ou d’appartenance. La simple existence de règles de guerre ne suffit donc pas. Il faut que ces règles organisent une épreuve reconnue comme décisive.</w:t>
      </w:r>
    </w:p>
    <w:p>
      <w:pPr>
        <w:pStyle w:val="BodyText"/>
        <w:rPr/>
      </w:pPr>
      <w:r>
        <w:rPr/>
        <w:t>Le risque propre du méta-régime guerrier tient à son instabilité. Il peut très vite basculer hors de sa propre forme. Quatre dérives doivent être distinguées.</w:t>
      </w:r>
    </w:p>
    <w:p>
      <w:pPr>
        <w:pStyle w:val="BodyText"/>
        <w:rPr/>
      </w:pPr>
      <w:r>
        <w:rPr/>
        <w:t>La première est la sacralisation du combat. Lorsque l’affrontement devient mission transcendante, purification ou guerre sainte, l’ennemi cesse d’être un adversaire d’épreuve. Il devient figure à éliminer au nom d’un autre fondement. Le guerrier est alors absorbé par le théologique ou par le sacral.</w:t>
      </w:r>
    </w:p>
    <w:p>
      <w:pPr>
        <w:pStyle w:val="BodyText"/>
        <w:rPr/>
      </w:pPr>
      <w:r>
        <w:rPr/>
        <w:t>La deuxième est la bureaucratisation du commandement. Lorsque l’autorité militaire procède principalement du grade, de l’office, de la nomination, de la chaîne administrative ou de l’appareil d’État, la cratialité guerrière se déplace. Le chef n’est plus d’abord celui dont l’autorité a été reconnue dans l’épreuve, mais celui qui occupe une fonction. La guerre devient administration de la violence.</w:t>
      </w:r>
    </w:p>
    <w:p>
      <w:pPr>
        <w:pStyle w:val="BodyText"/>
        <w:rPr/>
      </w:pPr>
      <w:r>
        <w:rPr/>
        <w:t>La troisième est la professionnalisation mercenaire. Lorsque le combattant n’est plus engagé comme porteur d’un statut, d’une appartenance ou d’un honneur, mais comme prestataire de force, l’épreuve perd sa fonction de reconnaissance collective. Le conflit subsiste, mais il se transforme en service, en prédation ou en instrument.</w:t>
      </w:r>
    </w:p>
    <w:p>
      <w:pPr>
        <w:pStyle w:val="BodyText"/>
        <w:rPr/>
      </w:pPr>
      <w:r>
        <w:rPr/>
        <w:t>La quatrième est la spectacularisation. Lorsque l’épreuve demeure visible mais n’est plus réellement risquée ni décisive, elle se déplace vers l’image. Tournois vidés de leur enjeu, bravoure stylisée, gestes héroïques devenus pur cérémonial : ce n’est plus l’épreuve qui fonde la reconnaissance, mais sa représentation. Le guerrier est alors absorbé par l’esthético-symbolique.</w:t>
      </w:r>
    </w:p>
    <w:p>
      <w:pPr>
        <w:pStyle w:val="BodyText"/>
        <w:rPr/>
      </w:pPr>
      <w:r>
        <w:rPr/>
        <w:t>Ces dérives ne suppriment pas nécessairement la guerre comme fait. Elles retirent au méta-régime guerrier sa spécificité archicratique. Pour qu’il demeure effectif, l’épreuve doit rester codifiée sans être fictive, risquée sans être anarchique, reconnue sans être absorbée par un autre fondement. Lorsque l’un de ces termes se défait, la guerre peut persister, mais elle cesse d’opérer comme scène de co-viabilité.</w:t>
      </w:r>
    </w:p>
    <w:p>
      <w:pPr>
        <w:pStyle w:val="BodyText"/>
        <w:rPr/>
      </w:pPr>
      <w:r>
        <w:rPr/>
        <w:t>Sa spécificité apparaît alors par contraste. Contrairement au marchand, il ne fonde pas par équivalence contestable, mais par exposition reconnue au risque. Contrairement au normativo-politique, il ne fonde pas par norme publique, mais par épreuve du corps. Contrairement au théologique, il ne fonde pas par parole révélée, sauf lorsqu’il se laisse absorber par une logique de guerre sacrée. Contrairement à l’esthético-symbolique, il ne fonde pas par apparence héroïque, mais par risque effectivement assumé. Contrairement au techno-logistique, il ne fonde pas par coordination des flux, mais par reconnaissance dans le conflit.</w:t>
      </w:r>
    </w:p>
    <w:p>
      <w:pPr>
        <w:pStyle w:val="BodyText"/>
        <w:rPr/>
      </w:pPr>
      <w:r>
        <w:rPr/>
        <w:t>Son opérateur de validité est l’épreuve combattante reconnue. Son locus de scène est le duel, le champ de bataille codifié, le défi, la mêlée, le rite guerrier, le conseil de guerre, le tournoi encore risqué, la cérémonie de reconnaissance ou le récit de bravoure attesté. Sa temporalité est celle de l’initiation, de l’épreuve, de la campagne, de la vengeance réglée, de la gloire, de la mémoire du combat et de la réactivation possible de l’honneur.</w:t>
      </w:r>
    </w:p>
    <w:p>
      <w:pPr>
        <w:pStyle w:val="BodyText"/>
        <w:rPr/>
      </w:pPr>
      <w:r>
        <w:rPr/>
        <w:t>Le méta-régime archicratique guerrier mérite donc son autonomie. Il montre qu’une société peut produire de la co-viabilité non en abolissant le conflit, mais en lui donnant une forme où l’appartenance, l’autorité et le statut peuvent être exposés, éprouvés et reconnus. Cette proposition ne glorifie pas la guerre. Elle en identifie une logique régulatrice historiquement attestable : certaines sociétés ont fait du risque partagé, du courage visible et de la conflictualité codifiée une matrice de reconnaissance.</w:t>
      </w:r>
    </w:p>
    <w:p>
      <w:pPr>
        <w:pStyle w:val="BodyText"/>
        <w:rPr/>
      </w:pPr>
      <w:r>
        <w:rPr/>
        <w:t>Cette matrice est dangereuse par nature. Elle peut structurer un lien, mais elle peut aussi basculer très vite dans la destruction, la domination, la purification, la prédation ou le spectacle. C’est pourquoi le méta-régime guerrier doit être pensé sans fascination. Sa place dans la typologie n’est pas celle d’un modèle, mais celle d’une forme irréductible et instable de co-viabilité par épreuve.</w:t>
      </w:r>
    </w:p>
    <w:p>
      <w:pPr>
        <w:pStyle w:val="BodyText"/>
        <w:rPr/>
      </w:pPr>
      <w:r>
        <w:rPr/>
        <w:t>La co-viabilité guerrière tient à ceci : dans certaines configurations, le conflit n’est pas traité comme exception extérieure au lien collectif, mais comme scène où ce lien se confirme, se hiérarchise et se rend visible. À cette condition stricte, et seulement à cette condition, le combat peut devenir opérateur d’ordre. Dès qu’il cesse d’être épreuve reconnue, il redevient violence, appareil, prédation ou mythe.</w:t>
      </w:r>
    </w:p>
    <w:p>
      <w:pPr>
        <w:pStyle w:val="Heading3"/>
        <w:numPr>
          <w:ilvl w:val="2"/>
          <w:numId w:val="2"/>
        </w:numPr>
        <w:rPr/>
      </w:pPr>
      <w:r>
        <w:rPr/>
        <w:t xml:space="preserve">2.2.13 — </w:t>
      </w:r>
      <w:r>
        <w:rPr>
          <w:i/>
          <w:iCs/>
        </w:rPr>
        <w:t>Plan différentiel-hybride</w:t>
      </w:r>
      <w:r>
        <w:rPr/>
        <w:t xml:space="preserve"> : compositions, superpositions et transitions entre méta-régimes</w:t>
      </w:r>
    </w:p>
    <w:p>
      <w:pPr>
        <w:pStyle w:val="BodyText"/>
        <w:rPr/>
      </w:pPr>
      <w:r>
        <w:rPr/>
        <w:t>Arrivés au terme de cette archétypologie, une précaution méthodologique s’impose. Les douze méta-régimes reconstruits ne doivent pas être compris comme des formes pures, toujours isolables dans l’expérience historique. Ils constituent des pôles d’intelligibilité. Les configurations concrètes de co-viabilité se présentent rarement sous la forme d’un seul méta-régime pleinement stabilisé.</w:t>
      </w:r>
    </w:p>
    <w:p>
      <w:pPr>
        <w:pStyle w:val="BodyText"/>
        <w:rPr/>
      </w:pPr>
      <w:r>
        <w:rPr/>
        <w:t>Il faut donc reconnaître un plan différentiel-hybride. Ce plan n’ajoute pas un treizième méta-régime à la série. Il désigne les manières dont les méta-régimes déjà distingués se modulent, se combinent, se relaient, se parasitent ou se transforment dans les sociétés effectives.</w:t>
      </w:r>
    </w:p>
    <w:p>
      <w:pPr>
        <w:pStyle w:val="BodyText"/>
        <w:rPr/>
      </w:pPr>
      <w:r>
        <w:rPr/>
        <w:t>Cette précision est décisive. La typologie ne vise pas à enfermer les cas historiques dans des cases closes. Elle sert à identifier des principes de régulation, leurs dominantes, leurs tensions et leurs modes de composition. Les formes hybrides ou différentielles ne brouillent donc pas la typologie ; elles en éprouvent la robustesse.</w:t>
      </w:r>
    </w:p>
    <w:p>
      <w:pPr>
        <w:pStyle w:val="BodyText"/>
        <w:rPr/>
      </w:pPr>
      <w:r>
        <w:rPr/>
        <w:t>On peut distinguer deux grandes familles.</w:t>
      </w:r>
    </w:p>
    <w:p>
      <w:pPr>
        <w:pStyle w:val="BodyText"/>
        <w:rPr/>
      </w:pPr>
      <w:r>
        <w:rPr/>
        <w:t>Les formes différentielles désignent les configurations où un même méta-régime s’active de manière discontinue, inégale ou modulée : intériorisation, intermittence, inhibition, alternance, passage de seuil, variation générationnelle. Les formes hybrides désignent les configurations où plusieurs méta-régimes s’entrelacent dans une même scène sociale sans se fondre dans une synthèse stable.</w:t>
      </w:r>
    </w:p>
    <w:p>
      <w:pPr>
        <w:pStyle w:val="BodyText"/>
        <w:rPr/>
      </w:pPr>
      <w:r>
        <w:rPr/>
        <w:t>Les formes différentielles montrent d’abord que la régulation n’exige pas toujours une scène constamment visible. Elle peut procéder par modulation. Un ordre peut tenir par contraintes incorporées, par autorité intermittente, par inhibition volontaire du pouvoir ou par passages réglés d’un statut à un autre.</w:t>
      </w:r>
    </w:p>
    <w:p>
      <w:pPr>
        <w:pStyle w:val="BodyText"/>
        <w:rPr/>
      </w:pPr>
      <w:r>
        <w:rPr/>
        <w:t>L’intériorisation en offre une première figure. Avec Elias, mais aussi avec Mauss ou Freud selon d’autres voies, on voit que des contraintes peuvent devenir postures, habitudes, retenues, rythmes de parole, manières de table, contrôle des affects ou discipline des pulsions. La scène extérieure se déplace dans les corps. La régulation devient moins visible, mais pas moins opérante. L’arcalité se dépose dans des attentes incorporées ; la cratialité agit par formation des conduites ; l’archicration se loge dans les moments de rappel, de honte, de correction, d’apprentissage ou de réajustement.</w:t>
      </w:r>
    </w:p>
    <w:p>
      <w:pPr>
        <w:pStyle w:val="BodyText"/>
        <w:rPr/>
      </w:pPr>
      <w:r>
        <w:rPr/>
        <w:t>L’alternance cyclique constitue une deuxième figure. Certaines sociétés n’activent pas un même principe régulateur de manière continue. Autorité, commandement, fête, dispersion, guerre, abondance, rareté ou rituel peuvent se succéder selon des phases reconnues. Graeber et Sahlins ont montré que des formes de pouvoir peuvent être fortes dans certains moments et neutralisées dans d’autres. Cette intermittence n’est pas nécessairement faiblesse ; elle peut être la condition même de la tenue. Le régime varie sans devenir inintelligible.</w:t>
      </w:r>
    </w:p>
    <w:p>
      <w:pPr>
        <w:pStyle w:val="BodyText"/>
        <w:rPr/>
      </w:pPr>
      <w:r>
        <w:rPr/>
        <w:t>L’inhibition volontaire du pouvoir en fournit une troisième figure. Les analyses de Clastres ont montré que certaines sociétés ne manquent pas d’organisation politique ; elles organisent activement l’empêchement d’une cristallisation durable de la domination. Le chef parle, représente, médiatise, mais ne convertit pas cette centralité en commandement souverain. D’un point de vue archicratique, l’intérêt est majeur : une régulation peut tenir par limitation active de la cratialité. Le pouvoir est reconnu assez pour servir, mais empêché de se transformer en capture.</w:t>
      </w:r>
    </w:p>
    <w:p>
      <w:pPr>
        <w:pStyle w:val="BodyText"/>
        <w:rPr/>
      </w:pPr>
      <w:r>
        <w:rPr/>
        <w:t>Le passage initiatique ou générationnel constitue une quatrième figure. Avec Van Gennep, on voit que certains ordres se maintiennent par franchissements de seuils : âge, statut, sexe rituel, capacité nouvelle, appartenance, sortie d’un état et entrée dans un autre. La co-viabilité repose alors sur la transformation reconnue. L’arcalité réside dans le seuil, la cratialité dans ceux qui conduisent ou valident l’épreuve, l’archicration dans la scène où l’appartenance est réinstituée par passage.</w:t>
      </w:r>
    </w:p>
    <w:p>
      <w:pPr>
        <w:pStyle w:val="BodyText"/>
        <w:rPr/>
      </w:pPr>
      <w:r>
        <w:rPr/>
        <w:t>Ces formes différentielles ne sont pas secondaires. Elles montrent que les vecteurs archicratiques peuvent se redistribuer sans disparaître. L’arcalité peut devenir diffuse, la cratialité intermittente, l’archicration rare mais décisive. La co-viabilité peut tenir par respirations, retenues, bascules, seuils et reprises.</w:t>
      </w:r>
    </w:p>
    <w:p>
      <w:pPr>
        <w:pStyle w:val="BodyText"/>
        <w:rPr/>
      </w:pPr>
      <w:r>
        <w:rPr/>
        <w:t>À côté de ces modulations internes, les formes hybrides relèvent d’une autre logique. Elles apparaissent lorsque plusieurs méta-régimes s’articulent dans une même configuration historique. L’hybridité ne signifie pas confusion. Elle signifie composition.</w:t>
      </w:r>
    </w:p>
    <w:p>
      <w:pPr>
        <w:pStyle w:val="BodyText"/>
        <w:rPr/>
      </w:pPr>
      <w:r>
        <w:rPr/>
        <w:t>Une première famille est celle des montages coercitivo-capitalistes. Dans la perspective ouverte par Tilly, certaines formations historiques articulent contrainte armée, extraction de ressources, dette, protection, négociation locale, administration et circulation marchande. Elles ne relèvent ni du guerrier seul, ni du marchand seul, ni du normativo-politique seul. Leur co-viabilité se forme dans la tension entre prélèvement, garantie, violence, reconnaissance et capacité logistique.</w:t>
      </w:r>
    </w:p>
    <w:p>
      <w:pPr>
        <w:pStyle w:val="BodyText"/>
        <w:rPr/>
      </w:pPr>
      <w:r>
        <w:rPr/>
        <w:t>Une deuxième famille est celle des institutions éducatives et disciplinaires. École, séminaire, institution de formation, université ou dispositif d’apprentissage croisent plusieurs logiques : scripturo-normative par les programmes et règlements, épistémique par la validation des savoirs, esthético-symbolique par les postures et formes de présentation de soi, normativo-politique lorsqu’il s’agit de former des sujets civiques, parfois théologique lorsque l’enseignement demeure ordonné à une parole-source. L’épreuve éducative est hybride parce qu’elle transforme un individu en sujet recevable pour un ordre donné.</w:t>
      </w:r>
    </w:p>
    <w:p>
      <w:pPr>
        <w:pStyle w:val="BodyText"/>
        <w:rPr/>
      </w:pPr>
      <w:r>
        <w:rPr/>
        <w:t>Une troisième famille est celle des formes ludiques, cérémonielles ou compétitives. Le jeu, tel que l’ont montré Huizinga et Caillois, n’est pas un simple dehors du social. Il articule convention, règle, compétition, imitation, style, suspension temporaire et arbitrage. Une scène ludique peut mobiliser du normativo-politique par la règle, du guerrier par l’épreuve agonistique, de l’esthético-symbolique par la forme, de l’historiographique par la mémoire des exploits. Elle constitue un laboratoire de régulation parce qu’elle rend visible, sous forme limitée, des tensions autrement dispersées.</w:t>
      </w:r>
    </w:p>
    <w:p>
      <w:pPr>
        <w:pStyle w:val="BodyText"/>
        <w:rPr/>
      </w:pPr>
      <w:r>
        <w:rPr/>
        <w:t>Une quatrième famille concerne les régulations domestiques, familiales ou salariées. Une maison, une parenté, un atelier, une entreprise ou un univers de travail tiennent rarement par un seul principe. Ils combinent statuts, affects, contrats, mémoires, dépendances matérielles, normes tacites, évaluations et formes de reconnaissance. L’arcalité peut se loger dans le lieu, l’ancienneté, la fonction, la promesse ou l’héritage ; la cratialité dans l’autorité quotidienne, la distribution des tâches ou l’évaluation ; l’archicration dans des scènes mineures de rappel, de répartition, de sanction, d’exclusion partielle ou de reconnaissance.</w:t>
      </w:r>
    </w:p>
    <w:p>
      <w:pPr>
        <w:pStyle w:val="BodyText"/>
        <w:rPr/>
      </w:pPr>
      <w:r>
        <w:rPr/>
        <w:t>Une cinquième famille est celle des configurations éco-symboliques ou relationnelles. Les travaux de Descola, Viveiros de Castro ou Ingold ont montré que certaines régulations articulent humains, non-humains, lieux, cycles, usages, interdits, récits et obligations sans séparer nettement nature, société et cosmologie. D’un point de vue archicratique, ces formes composent du sacral sans théologie, du symbolique sans simple esthétique, du pratique sans réduction technicienne, du normatif sans juridicité explicite. Leur cohérence tient à l’ajustement relationnel plutôt qu’à un principe unique.</w:t>
      </w:r>
    </w:p>
    <w:p>
      <w:pPr>
        <w:pStyle w:val="BodyText"/>
        <w:rPr/>
      </w:pPr>
      <w:r>
        <w:rPr/>
        <w:t>Ces exemples n’ont pas pour fonction d’ouvrir une nouvelle série. Ils montrent que les configurations historiques effectives se construisent souvent par tressage. Une logique peut dominer sans annuler les autres. Une scène peut être principalement marchande tout en mobilisant du politique, du scriptural et du symbolique. Une institution peut être principalement épistémique tout en restant travaillée par des formes théologiques, disciplinaires ou esthétiques. Une société peut inhiber le commandement tout en renforçant le rite, le récit ou les seuils générationnels.</w:t>
      </w:r>
    </w:p>
    <w:p>
      <w:pPr>
        <w:pStyle w:val="BodyText"/>
        <w:rPr/>
      </w:pPr>
      <w:r>
        <w:rPr/>
        <w:t>La vigilance méthodologique est donc double. Il ne faut pas multiplier les méta-régimes dès qu’une combinaison apparaît. Mais il ne faut pas non plus dissoudre les combinaisons dans une indistinction empirique. L’analyse doit identifier les logiques en présence, leur dominante éventuelle, leurs points de tension, leurs relais et leurs seuils de bascule.</w:t>
      </w:r>
    </w:p>
    <w:p>
      <w:pPr>
        <w:pStyle w:val="BodyText"/>
        <w:rPr/>
      </w:pPr>
      <w:r>
        <w:rPr/>
        <w:t>Le plan différentiel-hybride protège ainsi la typologie contre deux erreurs opposées : la rigidité classificatoire et la confusion généralisée. Les méta-régimes ne sont pas des essences closes. Mais les hybridations ne sont pas des mélanges informes. Elles sont des compositions régulatrices, parfois stables, parfois instables, où plusieurs principes de fondation, d’opération et d’épreuve se rencontrent sans se confondre.</w:t>
      </w:r>
    </w:p>
    <w:p>
      <w:pPr>
        <w:pStyle w:val="BodyText"/>
        <w:rPr/>
      </w:pPr>
      <w:r>
        <w:rPr/>
        <w:t>Cette sous-section ne prolonge donc pas la série des méta-régimes. Elle en explicite la plasticité concrète. Elle montre que la co-viabilité humaine se donne rarement dans la pureté d’un régime, mais dans des alternances, des inhibitions, des seuils, des superpositions et des ajustements situés.</w:t>
      </w:r>
    </w:p>
    <w:p>
      <w:pPr>
        <w:pStyle w:val="Heading3"/>
        <w:numPr>
          <w:ilvl w:val="2"/>
          <w:numId w:val="2"/>
        </w:numPr>
        <w:ind w:hanging="0" w:start="0"/>
        <w:rPr/>
      </w:pPr>
      <w:r>
        <w:rPr/>
        <w:t>Conclusion de la section 2.2 — Portée de la typologie des méta-régimes</w:t>
      </w:r>
    </w:p>
    <w:p>
      <w:pPr>
        <w:pStyle w:val="BodyText"/>
        <w:rPr/>
      </w:pPr>
      <w:r>
        <w:rPr/>
        <w:t>Au terme de ce parcours, la typologie archéogénétique des méta-régimes régulateurs ne doit être comprise ni comme une classification figée, ni comme un inventaire empirique des formes observables dans l’histoire humaine. Elle constitue une cartographie des principales modalités selon lesquelles une société peut instituer, maintenir, transformer et éprouver sa co-viabilité.</w:t>
      </w:r>
    </w:p>
    <w:p>
      <w:pPr>
        <w:pStyle w:val="BodyText"/>
        <w:rPr/>
      </w:pPr>
      <w:r>
        <w:rPr/>
        <w:t>Les douze méta-régimes dégagés, du proto-symbolique au guerrier, n’ont ni valeur d’époque, ni statut de stades évolutifs. Ils désignent des matrices de cohérence régulatrice : des compositions relativement distinctes entre arcalité, cratialité et archicration. Chacun possède un opérateur de validité, un mode d’effectuation et une scène d’épreuve ou de reprise qui lui donnent son autonomie.</w:t>
      </w:r>
    </w:p>
    <w:p>
      <w:pPr>
        <w:pStyle w:val="BodyText"/>
        <w:rPr/>
      </w:pPr>
      <w:r>
        <w:rPr/>
        <w:t>Leur distinction répond à une exigence d’irréductibilité morphologique. Un méta-régime ne doit être nommé que lorsqu’apparaît une manière distincte d’articuler fondement, opération et épreuve. À l’inverse, lorsqu’une configuration ne fait que moduler, combiner ou déplacer des logiques déjà identifiées, il faut parler de forme différentielle, hybride ou composite, non de méta-régime nouveau.</w:t>
      </w:r>
    </w:p>
    <w:p>
      <w:pPr>
        <w:pStyle w:val="BodyText"/>
        <w:rPr/>
      </w:pPr>
      <w:r>
        <w:rPr/>
        <w:t>La typologie n’est donc pas un droit à multiplier les catégories. Elle est une discipline de discrimination. Elle permet de comparer des formes hétérogènes sans les réduire à un modèle unique. Ce n’est pas l’identité de leurs contenus qui les rend comparables, mais leur manière propre d’agencer ce qui fonde, ce qui opère et ce qui s’éprouve.</w:t>
      </w:r>
    </w:p>
    <w:p>
      <w:pPr>
        <w:pStyle w:val="BodyText"/>
        <w:rPr/>
      </w:pPr>
      <w:r>
        <w:rPr/>
        <w:t>C’est en ce sens que l’archicratie ne doit pas être comprise comme un régime supplémentaire parmi d’autres. Elle désigne la grammaire par laquelle une société se rend capable de fonder, d’activer et de mettre à l’épreuve son propre ordre. Les méta-régimes en sont les grandes matrices historiques et morphologiques ; les formes hybrides en manifestent les compositions concrètes.</w:t>
      </w:r>
    </w:p>
    <w:p>
      <w:pPr>
        <w:pStyle w:val="BodyText"/>
        <w:rPr/>
      </w:pPr>
      <w:r>
        <w:rPr/>
        <w:t>Cette cartographie appelle une vigilance constante. Les sociétés historiques ne se laissent jamais réduire entièrement à des lignes pures. Elles procèdent par relais, porosités, chevauchements, reprises, inhibitions et déplacements. La typologie ne remplace donc pas l’enquête. Elle lui donne une armature.</w:t>
      </w:r>
    </w:p>
    <w:p>
      <w:pPr>
        <w:pStyle w:val="BodyText"/>
        <w:rPr/>
      </w:pPr>
      <w:r>
        <w:rPr/>
        <w:t>La leçon principale de cette section est alors claire : la co-viabilité humaine ne se donne presque jamais dans la pureté d’un régime. Elle se forme dans des équilibres instables, des dominantes provisoires, des combinaisons situées et des scènes où plusieurs principes de régulation se croisent. Il n’y a pas de progrès linéaire des régulations ; il y a des montages historiques, des condensations, des crises, des déplacements et des reprises.</w:t>
      </w:r>
    </w:p>
    <w:p>
      <w:pPr>
        <w:pStyle w:val="BodyText"/>
        <w:rPr/>
      </w:pPr>
      <w:r>
        <w:rPr/>
        <w:t>Ainsi s’achève la section 2.2. Elle ne ferme pas la typologie ; elle la rend utilisable. Après avoir reconstruit les grandes matrices de co-viabilité, il faudra désormais examiner leurs compositions effectives, leurs déplacements historiques et leurs incarnations civilisationnelles. La typologie devient alors ce qu’elle doit être : non une nomenclature, mais une grammaire de lecture pour la suite de l’essai.</w:t>
      </w:r>
    </w:p>
    <w:p>
      <w:pPr>
        <w:pStyle w:val="Heading2"/>
        <w:numPr>
          <w:ilvl w:val="1"/>
          <w:numId w:val="2"/>
        </w:numPr>
        <w:rPr/>
      </w:pPr>
      <w:r>
        <w:rPr>
          <w:b/>
          <w:bCs/>
        </w:rPr>
        <w:t>2.3 — Historiographie comparée des régimes régulateurs</w:t>
      </w:r>
    </w:p>
    <w:p>
      <w:pPr>
        <w:pStyle w:val="BodyText"/>
        <w:rPr>
          <w:b w:val="false"/>
          <w:bCs w:val="false"/>
        </w:rPr>
      </w:pPr>
      <w:r>
        <w:rPr>
          <w:b w:val="false"/>
          <w:bCs w:val="false"/>
        </w:rPr>
        <w:t>La section précédente a établi une typologie archéogénétique des méta-régimes archicratiques. Elle n’a pas proposé une chronologie du pouvoir, ni une classification des sociétés humaines. Elle a dégagé des matrices de co-viabilité : des manières relativement distinctes d’articuler ce qui fonde, ce qui opère et ce qui peut être mis à l’épreuve.</w:t>
      </w:r>
    </w:p>
    <w:p>
      <w:pPr>
        <w:pStyle w:val="BodyText"/>
        <w:rPr>
          <w:b w:val="false"/>
          <w:bCs w:val="false"/>
        </w:rPr>
      </w:pPr>
      <w:r>
        <w:rPr>
          <w:b w:val="false"/>
          <w:bCs w:val="false"/>
        </w:rPr>
        <w:t>Il faut maintenant changer de niveau. Les méta-régimes ne se rencontrent presque jamais à l’état pur dans l’histoire. Ils se composent, se déplacent, se hiérarchisent, se recouvrent ou se neutralisent. Une cité peut articuler norme civique, mémoire héroïque, scène guerrière, obligation religieuse et économie marchande. Un empire peut faire tenir ensemble archive, souveraineté, théologie, fiscalité, infrastructure et récit dynastique. Une institution moderne peut combiner preuve savante, norme publique, discipline administrative et calcul économique.</w:t>
      </w:r>
    </w:p>
    <w:p>
      <w:pPr>
        <w:pStyle w:val="BodyText"/>
        <w:rPr>
          <w:b w:val="false"/>
          <w:bCs w:val="false"/>
        </w:rPr>
      </w:pPr>
      <w:r>
        <w:rPr>
          <w:b w:val="false"/>
          <w:bCs w:val="false"/>
        </w:rPr>
        <w:t>La tâche de cette section n’est donc pas d’ajouter une seconde typologie à la première. Elle consiste à éprouver la précédente dans des configurations historiques situées. Après avoir distingué les matrices, il faut observer leurs compositions. Après avoir identifié les pôles, il faut suivre leurs agencements. Après avoir nommé les régimes de co-viabilité, il faut comprendre comment ils deviennent des formes historiques de gouvernement, d’administration, de croyance, de conflit, de savoir ou d’échange.</w:t>
      </w:r>
    </w:p>
    <w:p>
      <w:pPr>
        <w:pStyle w:val="BodyText"/>
        <w:rPr>
          <w:b w:val="false"/>
          <w:bCs w:val="false"/>
        </w:rPr>
      </w:pPr>
      <w:r>
        <w:rPr>
          <w:b w:val="false"/>
          <w:bCs w:val="false"/>
        </w:rPr>
        <w:t>Cette historiographie comparée ne vise pas une histoire universelle des régulations. Elle ne cherchera pas à couvrir toutes les civilisations, toutes les institutions, tous les modèles politiques. Elle retiendra seulement quelques configurations suffisamment fortes pour montrer comment les méta-régimes se condensent dans des formes historiques reconnaissables : la norme civique, la loi romaine, les pastorats religieux, les souverainetés monarchiques, les disciplines industrielles, les régulations impériales, les technocraties modernes et, plus tardivement, les configurations cybernétiques et calculatoires.</w:t>
      </w:r>
    </w:p>
    <w:p>
      <w:pPr>
        <w:pStyle w:val="BodyText"/>
        <w:rPr>
          <w:b w:val="false"/>
          <w:bCs w:val="false"/>
        </w:rPr>
      </w:pPr>
      <w:r>
        <w:rPr>
          <w:b w:val="false"/>
          <w:bCs w:val="false"/>
        </w:rPr>
        <w:t>Ces exemples ne valent pas comme étapes d’une progression. Ils ne composent pas une ligne allant du rite à la raison, de la cité à l’État, de la souveraineté à l’algorithme. Ils servent à observer des montages. Chaque configuration sera interrogée selon une même exigence : quels méta-régimes y dominent ? lesquels y demeurent secondaires ? où se déplacent les scènes d’épreuve ? quelles formes de co-viabilité deviennent possibles ? quelles formes de fermeture apparaissent ?</w:t>
      </w:r>
    </w:p>
    <w:p>
      <w:pPr>
        <w:pStyle w:val="BodyText"/>
        <w:rPr>
          <w:b w:val="false"/>
          <w:bCs w:val="false"/>
        </w:rPr>
      </w:pPr>
      <w:r>
        <w:rPr>
          <w:b w:val="false"/>
          <w:bCs w:val="false"/>
        </w:rPr>
        <w:t>La comparaison devra donc rester retenue. Il ne s’agit pas de faire entrer de force chaque période dans une grille déjà prête. Il s’agit de vérifier, dans chaque cas, si la distinction entre arcalité, cratialité et archicration permet de mieux comprendre la manière dont un ordre historique se rend recevable, opératoire et éventuellement contestable. Là où ce gain de lisibilité n’apparaît pas, l’analyse devra se limiter.</w:t>
      </w:r>
    </w:p>
    <w:p>
      <w:pPr>
        <w:pStyle w:val="BodyText"/>
        <w:rPr>
          <w:b w:val="false"/>
          <w:bCs w:val="false"/>
        </w:rPr>
      </w:pPr>
      <w:r>
        <w:rPr>
          <w:b w:val="false"/>
          <w:bCs w:val="false"/>
        </w:rPr>
        <w:t>Cette prudence est d’autant plus nécessaire que les formations historiques sont toujours composites. La nomocratie grecque ne relève pas uniquement du normativo-politique ; elle demeure traversée par le religieux, le guerrier, l’esthético-symbolique et l’historiographique. La lex romaine ne relève pas seulement de la norme publique ; elle articule archive, procédure, empire, citoyenneté, hiérarchie et mémoire. Les pastorats religieux ne se réduisent pas au théologique ; ils mobilisent aussi discipline, écriture, corps, confession, gouvernement des conduites. Les monarchies ne relèvent pas seulement de la souveraineté ; elles composent sacralité, récit dynastique, appareil fiscal, guerre et administration.</w:t>
      </w:r>
    </w:p>
    <w:p>
      <w:pPr>
        <w:pStyle w:val="BodyText"/>
        <w:rPr>
          <w:b w:val="false"/>
          <w:bCs w:val="false"/>
        </w:rPr>
      </w:pPr>
      <w:r>
        <w:rPr>
          <w:b w:val="false"/>
          <w:bCs w:val="false"/>
        </w:rPr>
        <w:t>C’est précisément cette composition qui intéresse l’analyse. Une formation historique ne se définit pas par un méta-régime isolé, mais par une dominante et par les tensions qu’elle entretient avec d’autres logiques régulatrices. L’enquête devra donc repérer les dominantes, sans effacer les couches secondaires ; identifier les scènes d’épreuve, sans supposer qu’elles soient toujours publiques ou égalitaires ; décrire les fermetures, sans réduire toute stabilité à une domination pure.</w:t>
      </w:r>
    </w:p>
    <w:p>
      <w:pPr>
        <w:pStyle w:val="BodyText"/>
        <w:rPr>
          <w:b w:val="false"/>
          <w:bCs w:val="false"/>
        </w:rPr>
      </w:pPr>
      <w:r>
        <w:rPr>
          <w:b w:val="false"/>
          <w:bCs w:val="false"/>
        </w:rPr>
        <w:t>La section suivra ainsi un mouvement comparatif. Elle examinera d’abord les formes antiques de régulation civique et juridique, où la norme publique devient un opérateur majeur de co-viabilité. Elle abordera ensuite les pastorats religieux et les souverainetés monarchiques, où la parole, la filiation, la transcendance et l’administration se combinent selon des architectures distinctes. Elle suivra ensuite les recompositions modernes, où la discipline, l’industrie, la bureaucratie, la science, l’économie et l’État transforment profondément les conditions de comparution. Elle pourra enfin ouvrir sur les configurations contemporaines, où le calcul, l’indicateur, l’automatisation et l’anticipation algorithmique tendent à déplacer ou à neutraliser les scènes d’épreuve.</w:t>
      </w:r>
    </w:p>
    <w:p>
      <w:pPr>
        <w:pStyle w:val="BodyText"/>
        <w:rPr>
          <w:b w:val="false"/>
          <w:bCs w:val="false"/>
        </w:rPr>
      </w:pPr>
      <w:r>
        <w:rPr>
          <w:b w:val="false"/>
          <w:bCs w:val="false"/>
        </w:rPr>
        <w:t>Ce dernier point devra être traité avec précision. Le cybernético-calculatoire ne sera pas introduit ici comme un treizième méta-régime archéogénétique. Il apparaîtra comme une configuration-limite contemporaine : une composition technique, épistémique, marchande, bureaucratique et logistique dans laquelle l’opération tend à produire ses propres critères de validité. Son développement principal appartiendra aux chapitres consacrés aux révolutions industrielles et aux tensions contemporaines. Ici, il ne servira qu’à indiquer la limite vers laquelle certaines compositions historiques récentes tendent.</w:t>
      </w:r>
    </w:p>
    <w:p>
      <w:pPr>
        <w:pStyle w:val="BodyText"/>
        <w:rPr>
          <w:b w:val="false"/>
          <w:bCs w:val="false"/>
        </w:rPr>
      </w:pPr>
      <w:r>
        <w:rPr>
          <w:b w:val="false"/>
          <w:bCs w:val="false"/>
        </w:rPr>
        <w:t>L’historiographie comparée qui s’ouvre maintenant doit donc être lue comme une épreuve de la typologie. Les méta-régimes ne sont plus considérés dans leur autonomie formelle, mais dans leurs alliances, leurs conflits, leurs absorptions et leurs déplacements. Ce qui importe n’est pas de classer les sociétés, mais de comprendre comment des ordres historiques ont rendu leur co-viabilité praticable, parfois contestable, parfois fermée.</w:t>
      </w:r>
    </w:p>
    <w:p>
      <w:pPr>
        <w:pStyle w:val="BodyText"/>
        <w:rPr>
          <w:b w:val="false"/>
          <w:bCs w:val="false"/>
        </w:rPr>
      </w:pPr>
      <w:r>
        <w:rPr>
          <w:b w:val="false"/>
          <w:bCs w:val="false"/>
        </w:rPr>
        <w:t>La question directrice devient alors la suivante :</w:t>
      </w:r>
    </w:p>
    <w:p>
      <w:pPr>
        <w:pStyle w:val="Blocdecitation"/>
        <w:spacing w:lineRule="auto" w:line="276" w:before="0" w:after="140"/>
        <w:rPr>
          <w:b w:val="false"/>
          <w:bCs w:val="false"/>
        </w:rPr>
      </w:pPr>
      <w:r>
        <w:rPr>
          <w:b w:val="false"/>
          <w:bCs w:val="false"/>
        </w:rPr>
        <w:t>dans une configuration historique donnée, qu’est-ce qui fonde l’ordre, par quels dispositifs cet ordre opère-t-il, et où peut-il encore être exposé à une épreuve ?</w:t>
      </w:r>
    </w:p>
    <w:p>
      <w:pPr>
        <w:pStyle w:val="BodyText"/>
        <w:rPr>
          <w:b w:val="false"/>
          <w:bCs w:val="false"/>
        </w:rPr>
      </w:pPr>
      <w:r>
        <w:rPr>
          <w:b w:val="false"/>
          <w:bCs w:val="false"/>
        </w:rPr>
        <w:t>C’est à partir de cette question que peut commencer l’examen comparé des grandes formes historiques de régulation.</w:t>
      </w:r>
    </w:p>
    <w:p>
      <w:pPr>
        <w:pStyle w:val="Heading3"/>
        <w:numPr>
          <w:ilvl w:val="2"/>
          <w:numId w:val="2"/>
        </w:numPr>
        <w:rPr/>
      </w:pPr>
      <w:r>
        <w:rPr/>
        <w:t>2.3.1 — Configurations antiques de la régulation explicite</w:t>
      </w:r>
    </w:p>
    <w:p>
      <w:pPr>
        <w:pStyle w:val="BodyText"/>
        <w:rPr>
          <w:b w:val="false"/>
          <w:bCs w:val="false"/>
        </w:rPr>
      </w:pPr>
      <w:r>
        <w:rPr>
          <w:b w:val="false"/>
          <w:bCs w:val="false"/>
        </w:rPr>
        <w:t>L’Antiquité n’introduit pas la régulation dans l’histoire humaine. Elle en déplace le régime de visibilité. Ce qui s’y affirme, dans plusieurs configurations décisives, n’est pas l’apparition soudaine du politique, mais une transformation des formes par lesquelles l’ordre devient formulable, transmissible, qualifiable ou contestable.</w:t>
      </w:r>
    </w:p>
    <w:p>
      <w:pPr>
        <w:pStyle w:val="BodyText"/>
        <w:rPr>
          <w:b w:val="false"/>
          <w:bCs w:val="false"/>
        </w:rPr>
      </w:pPr>
      <w:r>
        <w:rPr>
          <w:b w:val="false"/>
          <w:bCs w:val="false"/>
        </w:rPr>
        <w:t>Il serait pourtant ruineux d’en faire un âge unitaire ou le seuil simple d’une rationalisation continue. Le monde antique n’est ni un bloc, ni une origine unique, ni une promesse de progrès. Il constitue plutôt un champ de différenciation où plusieurs compositions de la co-viabilité deviennent plus lisibles : scène civique, continuité juridique, ordre rituel, textualité normative, administration impériale, hiérarchie cosmologique.</w:t>
      </w:r>
    </w:p>
    <w:p>
      <w:pPr>
        <w:pStyle w:val="BodyText"/>
        <w:rPr>
          <w:b w:val="false"/>
          <w:bCs w:val="false"/>
        </w:rPr>
      </w:pPr>
      <w:r>
        <w:rPr>
          <w:b w:val="false"/>
          <w:bCs w:val="false"/>
        </w:rPr>
        <w:t>La présente section ne résume donc pas “l’Antiquité”. Elle isole quelques montages historiques majeurs à travers lesquels la typologie précédente peut être éprouvée. Athènes, Rome, la Chine impériale et l’Inde ancienne ne seront pas traitées comme des totalités closes, ni comme des étapes d’un même développement. Elles seront lues comme des configurations singulières où se composent, chaque fois autrement, arcalité, cratialité et archicration.</w:t>
      </w:r>
    </w:p>
    <w:p>
      <w:pPr>
        <w:pStyle w:val="BodyText"/>
        <w:rPr>
          <w:b w:val="false"/>
          <w:bCs w:val="false"/>
        </w:rPr>
      </w:pPr>
      <w:r>
        <w:rPr>
          <w:b w:val="false"/>
          <w:bCs w:val="false"/>
        </w:rPr>
        <w:t>Le cas grec s’impose d’abord, non parce qu’il contiendrait l’essence du politique, mais parce qu’il offre l’une des premières scènes où la régulation devient explicitement affaire de forme publique. Avec la cité, et plus particulièrement avec Athènes, l’ordre commun ne se contente plus d’être hérité ou reconduit ; il s’expose dans des dispositifs où la règle peut être dite, discutée, infléchie, suspendue ou reprise. L’ecclésia, l’agora, les tribunaux, les procédures de reddition de comptes ou de révision ne forment pas un décor institutionnel. Ils constituent l’espace dans lequel la cité éprouve sa capacité à se gouverner.</w:t>
      </w:r>
    </w:p>
    <w:p>
      <w:pPr>
        <w:pStyle w:val="BodyText"/>
        <w:rPr>
          <w:b w:val="false"/>
          <w:bCs w:val="false"/>
        </w:rPr>
      </w:pPr>
      <w:r>
        <w:rPr>
          <w:b w:val="false"/>
          <w:bCs w:val="false"/>
        </w:rPr>
        <w:t>L’originalité athénienne ne réside pas dans l’effacement du conflit, ni dans une souveraineté populaire pleinement inclusive. Elle réside dans la production de formes recevables pour traiter le désaccord. L’arcalité y prend un visage public ; la cratialité s’y distribue selon des procédures ; l’archicration y devient, pour une part décisive, l’organisation des conditions dans lesquelles le différend peut être reconduit sans dissoudre la cité. La règle n’y vaut pas parce qu’elle descend d’un ailleurs indisponible, mais parce qu’elle entre dans des scènes où elle peut être discutée, défendue ou reformulée.</w:t>
      </w:r>
    </w:p>
    <w:p>
      <w:pPr>
        <w:pStyle w:val="BodyText"/>
        <w:rPr>
          <w:b w:val="false"/>
          <w:bCs w:val="false"/>
        </w:rPr>
      </w:pPr>
      <w:r>
        <w:rPr>
          <w:b w:val="false"/>
          <w:bCs w:val="false"/>
        </w:rPr>
        <w:t>Cette exposition demeure cependant strictement limitée. Le peuple athénien n’inclut ni tous les habitants de la cité, ni tous ceux qui contribuent à son existence matérielle. Femmes, esclaves, métèques et étrangers demeurent retranchés de la scène civique sous des formes diverses. Cette restriction n’invalide pas l’analyse ; elle en constitue l’une des conditions historiques. Athènes ne donne pas à voir une démocratie accomplie, mais une forme puissante et circonscrite de co-viabilité par publicité conflictuelle de la règle.</w:t>
      </w:r>
    </w:p>
    <w:p>
      <w:pPr>
        <w:pStyle w:val="BodyText"/>
        <w:rPr>
          <w:b w:val="false"/>
          <w:bCs w:val="false"/>
        </w:rPr>
      </w:pPr>
      <w:r>
        <w:rPr>
          <w:b w:val="false"/>
          <w:bCs w:val="false"/>
        </w:rPr>
        <w:t>La cité athénienne révèle ainsi une tension fondatrice : visibilité procédurale pour certains, invisibilité politique pour d’autres. Le désaccord devient ressource de stabilisation à l’intérieur du corps civique reconnu, tandis qu’une part considérable du monde social reste régulée sans voix propre. C’est cette ambivalence qui importe ici. Athènes invente une scène agonistique du commun, mais cette scène demeure restreinte. Elle rend la règle discutable, sans rendre tous les sujets affectés également présents à la discussion.</w:t>
      </w:r>
    </w:p>
    <w:p>
      <w:pPr>
        <w:pStyle w:val="BodyText"/>
        <w:rPr>
          <w:b w:val="false"/>
          <w:bCs w:val="false"/>
        </w:rPr>
      </w:pPr>
      <w:r>
        <w:rPr>
          <w:b w:val="false"/>
          <w:bCs w:val="false"/>
        </w:rPr>
        <w:t>Rome engage une inflexion d’une autre nature. Là où Athènes intensifie la scène publique de la reprise conflictuelle, Rome déplace le centre de gravité vers la continuité normative. Le problème n’y est plus d’abord la participation directe à la règle, mais sa tenue dans le temps, sa transmission à travers les générations politiques, son extension à des ensembles humains de plus en plus différenciés.</w:t>
      </w:r>
    </w:p>
    <w:p>
      <w:pPr>
        <w:pStyle w:val="BodyText"/>
        <w:rPr>
          <w:b w:val="false"/>
          <w:bCs w:val="false"/>
        </w:rPr>
      </w:pPr>
      <w:r>
        <w:rPr>
          <w:b w:val="false"/>
          <w:bCs w:val="false"/>
        </w:rPr>
        <w:t>L’arcalité romaine ne réside donc pas principalement dans l’ouverture répétée d’une scène agonistique. Elle se forme dans l’épaisseur cumulative des statuts, des précédents, des procédures, des qualifications et des formes juridiques capables de donner à la res publica, puis à l’Empire, une consistance durable. L’ordre collectif devient moins affaire de débat immédiat que d’architecture de validité.</w:t>
      </w:r>
    </w:p>
    <w:p>
      <w:pPr>
        <w:pStyle w:val="BodyText"/>
        <w:rPr>
          <w:b w:val="false"/>
          <w:bCs w:val="false"/>
        </w:rPr>
      </w:pPr>
      <w:r>
        <w:rPr>
          <w:b w:val="false"/>
          <w:bCs w:val="false"/>
        </w:rPr>
        <w:t>Le droit romain doit être compris dans cette perspective. Il ne sert pas seulement à résoudre des litiges. Il produit des effets propres de qualification, de distribution et de continuité. Il permet de faire tenir ensemble des personnes, des biens, des lieux, des fonctions et des appartenances dans une syntaxe normative robuste. Le citoyen, le pérégrin, l’affranchi, l’esclave ou le provincial ne relèvent pas du même régime de reconnaissance ; ils sont intégrés dans une architecture différentielle dont la cohérence repose sur la qualification juridique.</w:t>
      </w:r>
    </w:p>
    <w:p>
      <w:pPr>
        <w:pStyle w:val="BodyText"/>
        <w:rPr>
          <w:b w:val="false"/>
          <w:bCs w:val="false"/>
        </w:rPr>
      </w:pPr>
      <w:r>
        <w:rPr>
          <w:b w:val="false"/>
          <w:bCs w:val="false"/>
        </w:rPr>
        <w:t>La cratialité romaine est donc stratifiée. Sénat, magistratures, imperium, commandements militaires, juridictions, administrations et relais provinciaux composent un champ hiérarchisé, durable, traversé de tensions. Rome ne supprime pas ces tensions. Elle les agence dans une structure où la continuité de l’ordre importe davantage que la publicité du dissensus. La puissance n’y est ni purement civique, ni encore totalement absorbée par une souveraineté unique ; elle se déploie dans un système de relais, de délégations et de qualifications.</w:t>
      </w:r>
    </w:p>
    <w:p>
      <w:pPr>
        <w:pStyle w:val="BodyText"/>
        <w:rPr>
          <w:b w:val="false"/>
          <w:bCs w:val="false"/>
        </w:rPr>
      </w:pPr>
      <w:r>
        <w:rPr>
          <w:b w:val="false"/>
          <w:bCs w:val="false"/>
        </w:rPr>
        <w:t>Avec l’Empire, cette logique franchit un seuil. La normativité devient textuelle, cumulative, administrative et extensible à distance. Édits, rescrits, compilations, statuts, qualifications et procédures permettent d’articuler un espace immense sans le ramener à une participation commune. Le droit devient infrastructure de régulation à grande échelle. Il distribue les places, hiérarchise les appartenances, qualifie les territoires et rend gouvernable une pluralité humaine fortement stratifiée.</w:t>
      </w:r>
    </w:p>
    <w:p>
      <w:pPr>
        <w:pStyle w:val="BodyText"/>
        <w:rPr>
          <w:b w:val="false"/>
          <w:bCs w:val="false"/>
        </w:rPr>
      </w:pPr>
      <w:r>
        <w:rPr>
          <w:b w:val="false"/>
          <w:bCs w:val="false"/>
        </w:rPr>
        <w:t>La singularité de Rome tient alors à cette durabilité impersonnelle. Là où Athènes exposait la règle à la reprise civique, Rome lui donne une capacité supérieure de continuité, de qualification et d’extension. Elle institue une composition juridico-politique de grande portée, dans laquelle la co-viabilité se soutient moins par participation directe que par intégration différenciée dans un monde de normes, de statuts et de procédures.</w:t>
      </w:r>
    </w:p>
    <w:p>
      <w:pPr>
        <w:pStyle w:val="BodyText"/>
        <w:rPr>
          <w:b w:val="false"/>
          <w:bCs w:val="false"/>
        </w:rPr>
      </w:pPr>
      <w:r>
        <w:rPr>
          <w:b w:val="false"/>
          <w:bCs w:val="false"/>
        </w:rPr>
        <w:t>Hors du monde méditerranéen, d’autres civilisations antiques élaborent des compositions tout aussi puissantes. Elles ne posent pas le même problème qu’Athènes ou Rome. Leur enjeu n’est ni la publicité civique de la règle, ni la continuité juridico-politique au sens romain, mais l’ajustement entre hiérarchie cosmologique, textualité normative, ritualité sociale et administration des conduites.</w:t>
      </w:r>
    </w:p>
    <w:p>
      <w:pPr>
        <w:pStyle w:val="BodyText"/>
        <w:rPr>
          <w:b w:val="false"/>
          <w:bCs w:val="false"/>
        </w:rPr>
      </w:pPr>
      <w:r>
        <w:rPr>
          <w:b w:val="false"/>
          <w:bCs w:val="false"/>
        </w:rPr>
        <w:t>La Chine impériale en offre un cas majeur. Sous les Han, l’ordre ne repose ni sur la seule coercition légale, ni sur la seule intériorité morale. Il se forme dans l’articulation du Li et du Fa. Le rite modèle les positions, les gestes, les hiérarchies et les obligations relationnelles. La loi relaie, durcit ou rend justiciable cette trame lorsque l’ajustement rituel ne suffit plus. L’arcalité s’enracine dans une cosmologie hiérarchisée du monde humain ; la cratialité se déploie dans une bureaucratie impériale organisée ; l’archicration se joue dans la médiation entre canon, commentaire, décret, procédure et conduite.</w:t>
      </w:r>
    </w:p>
    <w:p>
      <w:pPr>
        <w:pStyle w:val="BodyText"/>
        <w:rPr>
          <w:b w:val="false"/>
          <w:bCs w:val="false"/>
        </w:rPr>
      </w:pPr>
      <w:r>
        <w:rPr>
          <w:b w:val="false"/>
          <w:bCs w:val="false"/>
        </w:rPr>
        <w:t>Le pouvoir chinois classique ne cherche pas uniquement à imposer un ordre. Il cherche à faire coïncider ordre social, tenue rituelle et intelligibilité cosmique. Gouverner, dans cette configuration, c’est inscrire les conduites dans une forme générale d’harmonisation entre places, temporalités et obligations. L’ordre y est moins délibératif qu’à Athènes, moins strictement juridique qu’à Rome, mais plus fortement intégré à une architecture continue de gestes, de fonctions, de textes et de hiérarchies.</w:t>
      </w:r>
    </w:p>
    <w:p>
      <w:pPr>
        <w:pStyle w:val="BodyText"/>
        <w:rPr>
          <w:b w:val="false"/>
          <w:bCs w:val="false"/>
        </w:rPr>
      </w:pPr>
      <w:r>
        <w:rPr>
          <w:b w:val="false"/>
          <w:bCs w:val="false"/>
        </w:rPr>
        <w:t>L’Inde ancienne et classique fait apparaître une autre modalité de composition. La régulation ne se laisse pas reconduire à un simple ordre religieux indistinct. Elle articule textualités normatives, hiérarchies statutaires, dispositifs de souveraineté et économies du devoir. Le dharma fonctionne comme principe de tenue du monde social : il répartit les fonctions, oriente les conduites, différencie les obligations et inscrit les statuts dans une architecture plus vaste que la décision politique.</w:t>
      </w:r>
    </w:p>
    <w:p>
      <w:pPr>
        <w:pStyle w:val="BodyText"/>
        <w:rPr>
          <w:b w:val="false"/>
          <w:bCs w:val="false"/>
        </w:rPr>
      </w:pPr>
      <w:r>
        <w:rPr>
          <w:b w:val="false"/>
          <w:bCs w:val="false"/>
        </w:rPr>
        <w:t>Cette arcalité ne demeure pas abstraite. Avec les formations impériales, notamment maurya puis gupta, elle se trouve relayée par des appareils de commandement, des fiscalités, des juridictions, des instruments textuels et des pratiques de gouvernement. L’Arthaśāstra montre à cet égard une inflexion décisive : la régulation du monde humain relève aussi d’un art de surveiller, prélever, punir, administrer et gouverner. La cratialité devient plus explicite, plus stratégique, parfois plus froide, sans rompre entièrement avec l’arrière-plan statutaire et cosmologique qui soutient sa légitimité.</w:t>
      </w:r>
    </w:p>
    <w:p>
      <w:pPr>
        <w:pStyle w:val="BodyText"/>
        <w:rPr>
          <w:b w:val="false"/>
          <w:bCs w:val="false"/>
        </w:rPr>
      </w:pPr>
      <w:r>
        <w:rPr>
          <w:b w:val="false"/>
          <w:bCs w:val="false"/>
        </w:rPr>
        <w:t>La comparaison avec la Chine et l’Inde oblige donc à déplacer le regard. Les grandes civilisations impériales antiques ne sont pas des variantes secondaires d’un modèle méditerranéen. Elles élaborent des solutions archicratiques distinctes au problème de la co-viabilité à grande échelle. Athènes intensifie la scène civique ; Rome épaissit la continuité normative ; la Chine articule rite, loi et administration dans une cosmologie hiérarchisée ; l’Inde compose devoir statutaire, textualité normative et souveraineté stratégique dans une pluralité d’ordres différenciés.</w:t>
      </w:r>
    </w:p>
    <w:p>
      <w:pPr>
        <w:pStyle w:val="BodyText"/>
        <w:rPr>
          <w:b w:val="false"/>
          <w:bCs w:val="false"/>
        </w:rPr>
      </w:pPr>
      <w:r>
        <w:rPr>
          <w:b w:val="false"/>
          <w:bCs w:val="false"/>
        </w:rPr>
        <w:t>Ce détour interdit toute provincialisation de la typologie. L’archicratie n’a pas une matrice historique unique. Elle se laisse reconnaître dans plusieurs grandes inventions civilisationnelles du lien régulé, à condition de décrire chaque fois la manière singulière dont s’y composent fondement, opération et scène d’épreuve.</w:t>
      </w:r>
    </w:p>
    <w:p>
      <w:pPr>
        <w:pStyle w:val="BodyText"/>
        <w:rPr>
          <w:b w:val="false"/>
          <w:bCs w:val="false"/>
        </w:rPr>
      </w:pPr>
      <w:r>
        <w:rPr>
          <w:b w:val="false"/>
          <w:bCs w:val="false"/>
        </w:rPr>
        <w:t>Au terme de ce parcours, l’Antiquité apparaît moins comme une origine unifiée que comme un champ de différenciation. Ce qui s’y observe avec une netteté nouvelle, c’est la pluralisation explicite des formes de régulation : ici, la scène civique de la reprise conflictuelle ; là, la continuité normative d’un monde juridiquement qualifié ; ailleurs, l’articulation du rite, de la loi, du commentaire et de l’administration ; ailleurs encore, la composition de la textualité normative, du statut et de la souveraineté.</w:t>
      </w:r>
    </w:p>
    <w:p>
      <w:pPr>
        <w:pStyle w:val="BodyText"/>
        <w:rPr>
          <w:b w:val="false"/>
          <w:bCs w:val="false"/>
        </w:rPr>
      </w:pPr>
      <w:r>
        <w:rPr>
          <w:b w:val="false"/>
          <w:bCs w:val="false"/>
        </w:rPr>
        <w:t>Athènes, Rome, la Chine impériale et l’Inde ancienne ne doivent donc pas être placées sur une ligne de développement. Elles constituent des réponses distinctes à un problème commun : comment rendre un ordre collectif suffisamment fondé pour être reconnu, suffisamment opératoire pour durer, et suffisamment réglé pour traverser ses propres tensions.</w:t>
      </w:r>
    </w:p>
    <w:p>
      <w:pPr>
        <w:pStyle w:val="BodyText"/>
        <w:rPr>
          <w:b w:val="false"/>
          <w:bCs w:val="false"/>
        </w:rPr>
      </w:pPr>
      <w:r>
        <w:rPr>
          <w:b w:val="false"/>
          <w:bCs w:val="false"/>
        </w:rPr>
        <w:t>L’apport majeur de l’Antiquité, pour notre enquête, tient à cette explicitation croissante de la régulation. Non que tout y devienne transparent, juste ou partageable. Les exclusions, les hiérarchies et les asymétries demeurent massives. Mais l’ordre devient davantage objectivable dans ses opérateurs : procédures, statuts, textes, fonctions, cosmologies, scènes civiques, appareils, commentaires.</w:t>
      </w:r>
    </w:p>
    <w:p>
      <w:pPr>
        <w:pStyle w:val="BodyText"/>
        <w:rPr>
          <w:b w:val="false"/>
          <w:bCs w:val="false"/>
        </w:rPr>
      </w:pPr>
      <w:r>
        <w:rPr>
          <w:b w:val="false"/>
          <w:bCs w:val="false"/>
        </w:rPr>
        <w:t>L’Antiquité constitue ainsi un seuil dans la généalogie archicratique. Elle nous lègue moins un modèle qu’un éventail de solutions durablement structurantes, dont l’histoire ultérieure héritera, déplacera ou recomposera les tensions.</w:t>
      </w:r>
    </w:p>
    <w:p>
      <w:pPr>
        <w:pStyle w:val="BodyText"/>
        <w:rPr>
          <w:b w:val="false"/>
          <w:bCs w:val="false"/>
        </w:rPr>
      </w:pPr>
      <w:r>
        <w:rPr>
          <w:b w:val="false"/>
          <w:bCs w:val="false"/>
        </w:rPr>
        <w:t>Mais cette explicitation du normatif n’épuise pas la co-viabilité. Avec le Moyen Âge, la scène régulatrice se reconfigure profondément : fragmentation des héritages impériaux, montée en puissance des autorités religieuses, épaisseur des liens d’allégeance, pluralité des juridictions, incorporation des devoirs. La norme n’y sera plus portée par la seule publicité civique ou par la continuité juridique impériale ; elle se recomposera autour de la révélation, de la hiérarchie sacrée, de la fidélité personnelle et des formes médiévales de médiation.</w:t>
      </w:r>
    </w:p>
    <w:p>
      <w:pPr>
        <w:pStyle w:val="BodyText"/>
        <w:rPr>
          <w:b w:val="false"/>
          <w:bCs w:val="false"/>
        </w:rPr>
      </w:pPr>
      <w:r>
        <w:rPr>
          <w:b w:val="false"/>
          <w:bCs w:val="false"/>
        </w:rPr>
        <w:t>C’est à cette nouvelle composition des régimes de co-viabilité que sera consacrée la sous-section suivante.</w:t>
      </w:r>
    </w:p>
    <w:p>
      <w:pPr>
        <w:pStyle w:val="Heading3"/>
        <w:numPr>
          <w:ilvl w:val="2"/>
          <w:numId w:val="2"/>
        </w:numPr>
        <w:rPr/>
      </w:pPr>
      <w:r>
        <w:rPr/>
        <w:t>2.3.2 — Médiations médiévales : pastorats, fidélités et pluralité des juridictions</w:t>
      </w:r>
    </w:p>
    <w:p>
      <w:pPr>
        <w:pStyle w:val="BodyText"/>
        <w:rPr>
          <w:b w:val="false"/>
          <w:bCs w:val="false"/>
        </w:rPr>
      </w:pPr>
      <w:r>
        <w:rPr>
          <w:b w:val="false"/>
          <w:bCs w:val="false"/>
        </w:rPr>
        <w:t>Si l’Antiquité avait rendu plus visibles des formes de régulation portées par la cité, le droit, l’administration impériale ou les textualités cosmico-normatives, le Moyen Âge déplace à nouveau le centre de gravité de la co-viabilité. L’ordre n’y repose plus principalement sur la publicité civique de la règle, ni sur la seule continuité juridico-administrative d’un appareil impérial. Il tend à se soutenir par la vérité révélée, la hiérarchie des médiations, la ritualisation des dépendances, la mémoire des appartenances et la pluralité des juridictions.</w:t>
      </w:r>
    </w:p>
    <w:p>
      <w:pPr>
        <w:pStyle w:val="BodyText"/>
        <w:rPr>
          <w:b w:val="false"/>
          <w:bCs w:val="false"/>
        </w:rPr>
      </w:pPr>
      <w:r>
        <w:rPr>
          <w:b w:val="false"/>
          <w:bCs w:val="false"/>
        </w:rPr>
        <w:t>Il serait donc historiquement faux d’en faire un simple entre-deux, suspendu entre Antiquité et modernité. Le monde médiéval constitue l’un des grands laboratoires de compositions archicratiques denses, durables et fortement différenciées. Ce qui s’y transforme n’est pas l’existence de la régulation, mais son mode d’ancrage : l’ordre se fonde dans des sources transcendantes, coutumières, lignagères ou rituelles ; il opère par des chaînes de médiation imbriquées ; il s’éprouve dans des scènes où l’écriture, le serment, le commentaire, la mémoire orale, la liturgie, la jurisprudence ou l’arbitrage se relaient.</w:t>
      </w:r>
    </w:p>
    <w:p>
      <w:pPr>
        <w:pStyle w:val="BodyText"/>
        <w:rPr>
          <w:b w:val="false"/>
          <w:bCs w:val="false"/>
        </w:rPr>
      </w:pPr>
      <w:r>
        <w:rPr>
          <w:b w:val="false"/>
          <w:bCs w:val="false"/>
        </w:rPr>
        <w:t>La chrétienté latine médiévale fournit une première configuration majeure. Elle importe ici non comme modèle exclusif du Moyen Âge, mais comme forme particulièrement lisible d’une régulation fondée sur une transcendance administrée. À partir de la consolidation ecclésiale et, plus nettement, de la réforme grégorienne, l’Église latine ne se borne pas à encadrer une croyance. Elle constitue un appareil de régulation étendu, capable d’ordonner les conduites, de hiérarchiser les fonctions, de qualifier les déviances et d’inscrire le salut dans une économie normative de la correction.</w:t>
      </w:r>
    </w:p>
    <w:p>
      <w:pPr>
        <w:pStyle w:val="BodyText"/>
        <w:rPr>
          <w:b w:val="false"/>
          <w:bCs w:val="false"/>
        </w:rPr>
      </w:pPr>
      <w:r>
        <w:rPr>
          <w:b w:val="false"/>
          <w:bCs w:val="false"/>
        </w:rPr>
        <w:t>L’arcalité chrétienne est d’abord révélée, scripturaire et institutionnelle. Elle s’origine dans la révélation, l’autorité des Écritures, la figure du Christ, la tradition apostolique et l’Église comme médiation autorisée de cette vérité. Mais cette transcendance n’est pas laissée à l’état d’énoncé abstrait. Elle prend corps dans des dispositifs visibles : liturgie, architecture sacrée, calendrier religieux, hiérarchie cléricale, sacrements, rites de passage, espaces consacrés. La norme vaut parce qu’elle est dite vraie, mais aussi parce qu’elle est rendue socialement habitable dans des lieux, des gestes, des rythmes et des fonctions.</w:t>
      </w:r>
    </w:p>
    <w:p>
      <w:pPr>
        <w:pStyle w:val="BodyText"/>
        <w:rPr>
          <w:b w:val="false"/>
          <w:bCs w:val="false"/>
        </w:rPr>
      </w:pPr>
      <w:r>
        <w:rPr>
          <w:b w:val="false"/>
          <w:bCs w:val="false"/>
        </w:rPr>
        <w:t>La cratialité se déploie alors sous une forme pastorale et disciplinaire. Le christianisme latin médiéval ne gouverne pas seulement par territoire ou par commandement. Il gouverne aussi par conduite des conduites, examen de soi, confession, pénitence, direction de conscience, correction fraternelle, surveillance des mœurs et qualification des fautes. L’intériorité devient un lieu de régulation. L’autorité ecclésiale agit sur les actes, mais aussi sur les intentions, les désirs, les aveux et les manières de se rapporter au salut.</w:t>
      </w:r>
    </w:p>
    <w:p>
      <w:pPr>
        <w:pStyle w:val="BodyText"/>
        <w:rPr>
          <w:b w:val="false"/>
          <w:bCs w:val="false"/>
        </w:rPr>
      </w:pPr>
      <w:r>
        <w:rPr>
          <w:b w:val="false"/>
          <w:bCs w:val="false"/>
        </w:rPr>
        <w:t>L’archicration chrétienne prend forme dans les scènes où cette vérité est interprétée, appliquée, corrigée ou défendue : confession, pénitence, tribunal ecclésiastique, droit canonique, concile, prédication, controverse doctrinale, commentaire scolastique. Avec l’accumulation des décrétales, la systématisation des autorités et le Décret de Gratien, la normativité ecclésiale devient cumulative, interprétative et transmissible. Elle ne repose pas sur la seule répétition du dogme ; elle produit un appareil de qualification capable de trancher, corriger, hiérarchiser et généraliser.</w:t>
      </w:r>
    </w:p>
    <w:p>
      <w:pPr>
        <w:pStyle w:val="BodyText"/>
        <w:rPr>
          <w:b w:val="false"/>
          <w:bCs w:val="false"/>
        </w:rPr>
      </w:pPr>
      <w:r>
        <w:rPr>
          <w:b w:val="false"/>
          <w:bCs w:val="false"/>
        </w:rPr>
        <w:t>Cette puissance intégratrice doit être tenue avec sa violence potentielle. La chrétienté médiévale organise le salut, la charité, l’instruction et la correction ; elle distingue aussi orthodoxie et hérésie, licite et illicite, pur et impur, conforme et déviant. Elle construit un monde intelligible, mais réduit fortement la pluralité recevable. Sa force archicratique tient à cette capacité de suturer la co-viabilité sociale, morale et symbolique sous l’autorité d’une vérité révélée institutionnellement administrée.</w:t>
      </w:r>
    </w:p>
    <w:p>
      <w:pPr>
        <w:pStyle w:val="BodyText"/>
        <w:rPr>
          <w:b w:val="false"/>
          <w:bCs w:val="false"/>
        </w:rPr>
      </w:pPr>
      <w:r>
        <w:rPr>
          <w:b w:val="false"/>
          <w:bCs w:val="false"/>
        </w:rPr>
        <w:t>À côté du régime ecclésial, l’Europe médiévale déploie une autre configuration : celle des fidélités féodales, des coutumes localisées et des dépendances ritualisées. Il faut éviter deux simplifications : voir dans la féodalité une anarchie post-impériale ou, à l’inverse, un système parfaitement unifié. Ce qui importe ici est la logique régulatrice : un ordre dans lequel la co-viabilité se soutient par la mémoire des engagements, la territorialisation des obligations, la coutume et la reconnaissance des liens personnels.</w:t>
      </w:r>
    </w:p>
    <w:p>
      <w:pPr>
        <w:pStyle w:val="BodyText"/>
        <w:rPr>
          <w:b w:val="false"/>
          <w:bCs w:val="false"/>
        </w:rPr>
      </w:pPr>
      <w:r>
        <w:rPr>
          <w:b w:val="false"/>
          <w:bCs w:val="false"/>
        </w:rPr>
        <w:t>L’arcalité féodale ne repose ni sur une révélation fondatrice au sens strict, ni sur une norme générale abstraitement formulée. Elle s’ancre dans des terres, des lignages, des titres, des généalogies, des gestes d’hommage, des emblèmes, des châteaux, des précédents et des coutumes. Le fief n’est pas seulement une unité économique ou militaire. Il fixe matériellement et symboliquement une obligation. L’ordre se rend recevable parce qu’il est localisé, incarné, mémorisable.</w:t>
      </w:r>
    </w:p>
    <w:p>
      <w:pPr>
        <w:pStyle w:val="BodyText"/>
        <w:rPr>
          <w:b w:val="false"/>
          <w:bCs w:val="false"/>
        </w:rPr>
      </w:pPr>
      <w:r>
        <w:rPr>
          <w:b w:val="false"/>
          <w:bCs w:val="false"/>
        </w:rPr>
        <w:t>La cratialité féodale est polycentrique. Elle procède d’un enchevêtrement de puissances partielles : seigneurs, vassaux, évêques, abbés, princes, communautés urbaines, juridictions locales. Un même individu peut relever de plusieurs chaînes d’obligation. Cette pluralité n’est pas un accident ; elle constitue un principe de fonctionnement. Le pouvoir y est distribué, négocié, chevauchant, conflictuel, mais intelligible pour les acteurs parce qu’il s’inscrit dans une grammaire stable de protection, de service, d’honneur et de dépendance réciproque.</w:t>
      </w:r>
    </w:p>
    <w:p>
      <w:pPr>
        <w:pStyle w:val="BodyText"/>
        <w:rPr>
          <w:b w:val="false"/>
          <w:bCs w:val="false"/>
        </w:rPr>
      </w:pPr>
      <w:r>
        <w:rPr>
          <w:b w:val="false"/>
          <w:bCs w:val="false"/>
        </w:rPr>
        <w:t>L’archicration féodale se déploie dans les scènes où ces liens sont formés, rappelés, éprouvés ou réajustés : hommage, serment, conseil de pairs, justice seigneuriale, arbitrage, compensation, coutume invoquée. La norme ne se présente pas d’abord comme texte universel. Elle apparaît comme obligation située, rendue valide par reconnaissance mutuelle, répétition contrôlée et mémoire locale. L’écriture, lorsqu’elle intervient, fixe ou consigne souvent des usages déjà tenus pour recevables. La normativité ne part pas du code ; elle remonte au précédent.</w:t>
      </w:r>
    </w:p>
    <w:p>
      <w:pPr>
        <w:pStyle w:val="BodyText"/>
        <w:rPr>
          <w:b w:val="false"/>
          <w:bCs w:val="false"/>
        </w:rPr>
      </w:pPr>
      <w:r>
        <w:rPr>
          <w:b w:val="false"/>
          <w:bCs w:val="false"/>
        </w:rPr>
        <w:t>Ce monde est robuste, mais fortement inégalitaire. Il n’abolit pas le conflit ; il l’encadre par des formes de guerre, de vengeance, de duel, de composition ou de pacification. Les Paix de Dieu et Trêves de Dieu montrent que la conflictualité n’est pas extérieure au système : elle doit être canalisée. La féodalité ne produit donc ni ordre pacifié, ni chaos pur. Elle institue une co-viabilité stratifiée où la règle tient moins à son universalité qu’à la reconnaissance localement partagée de ce que chacun doit à chacun selon son rang, sa terre et son lien.</w:t>
      </w:r>
    </w:p>
    <w:p>
      <w:pPr>
        <w:pStyle w:val="BodyText"/>
        <w:rPr>
          <w:b w:val="false"/>
          <w:bCs w:val="false"/>
        </w:rPr>
      </w:pPr>
      <w:r>
        <w:rPr>
          <w:b w:val="false"/>
          <w:bCs w:val="false"/>
        </w:rPr>
        <w:t>Le monde islamique médiéval constitue une autre composition, irréductible à la chrétienté latine comme au modèle féodal. Sa singularité ne tient pas à l’absence de pouvoir, mais à la distribution de la normativité entre révélation, tradition prophétique, élaboration savante et autorités politiques inégalement stabilisées. L’ordre n’y repose ni sur une Église constituée, ni sur une souveraineté législative pleinement autonome, mais sur une articulation dense entre texte révélé, interprétation autorisée et mise en pratique communautaire.</w:t>
      </w:r>
    </w:p>
    <w:p>
      <w:pPr>
        <w:pStyle w:val="BodyText"/>
        <w:rPr>
          <w:b w:val="false"/>
          <w:bCs w:val="false"/>
        </w:rPr>
      </w:pPr>
      <w:r>
        <w:rPr>
          <w:b w:val="false"/>
          <w:bCs w:val="false"/>
        </w:rPr>
        <w:t>L’arcalité y est scripturo-prophétique. Le Coran, la Sunna et la mémoire normative du Prophète forment une source de fondation qui oriente le monde humain. Mais cette arcalité n’est jamais brute. Elle passe par la transmission, la sélection, la hiérarchisation et la validation des sources. Le fondement est médié par une culture savante de l’autorité textuelle, du commentaire et de la chaîne de transmission.</w:t>
      </w:r>
    </w:p>
    <w:p>
      <w:pPr>
        <w:pStyle w:val="BodyText"/>
        <w:rPr>
          <w:b w:val="false"/>
          <w:bCs w:val="false"/>
        </w:rPr>
      </w:pPr>
      <w:r>
        <w:rPr>
          <w:b w:val="false"/>
          <w:bCs w:val="false"/>
        </w:rPr>
        <w:t>La cratialité islamique médiévale se présente sous une forme double. D’un côté, califes, sultans, émirs et gouverneurs exercent des fonctions d’administration, de commandement, de prélèvement et de police. De l’autre, ʿulamāʾ, fuqahāʾ, muftīs et qāḍīs détiennent une autorité normative que le pouvoir princier ne maîtrise jamais absolument. Il en résulte une configuration où la légitimité politique dépend de son rapport à une normativité savante qu’elle ne produit pas seule.</w:t>
      </w:r>
    </w:p>
    <w:p>
      <w:pPr>
        <w:pStyle w:val="BodyText"/>
        <w:rPr>
          <w:b w:val="false"/>
          <w:bCs w:val="false"/>
        </w:rPr>
      </w:pPr>
      <w:r>
        <w:rPr>
          <w:b w:val="false"/>
          <w:bCs w:val="false"/>
        </w:rPr>
        <w:t>L’archicration prend ici la forme d’une interprétation réglée : élaboration du fiqh, hiérarchisation des sources, qiyās, ijmāʿ, fatwā, jugement, enseignement, consultation. La norme ne procède pas principalement d’un acte législatif souverain. Elle se stabilise par des opérations herméneutiques et pédagogiques qui la rendent transmissible, discutables dans certaines limites, et socialement opérante. L’ordre n’est pas simplement imposé ; il est reconduit par une culture de l’interprétation autorisée.</w:t>
      </w:r>
    </w:p>
    <w:p>
      <w:pPr>
        <w:pStyle w:val="BodyText"/>
        <w:rPr>
          <w:b w:val="false"/>
          <w:bCs w:val="false"/>
        </w:rPr>
      </w:pPr>
      <w:r>
        <w:rPr>
          <w:b w:val="false"/>
          <w:bCs w:val="false"/>
        </w:rPr>
        <w:t>Cette puissance régulatrice est considérable. Elle permet de produire une cohérence normative à grande échelle sans centralisation politique intégrale. Mais elle demeure traversée par des asymétries fortes : accès hiérarchisé à l’interprétation légitime, statuts différenciés de sexe, de confession, de savoir et de position sociale. Le pluralisme des écoles juridiques ne doit donc pas être idéalisé. Il constitue une différenciation régulée, non une égalité générale d’accès à la normativité.</w:t>
      </w:r>
    </w:p>
    <w:p>
      <w:pPr>
        <w:pStyle w:val="BodyText"/>
        <w:rPr>
          <w:b w:val="false"/>
          <w:bCs w:val="false"/>
        </w:rPr>
      </w:pPr>
      <w:r>
        <w:rPr>
          <w:b w:val="false"/>
          <w:bCs w:val="false"/>
        </w:rPr>
        <w:t>Dans un registre encore différent, les empires ouest-africains médiévaux, notamment le Manden Kurufa et l’Empire Songhaï, donnent à voir une configuration où la régulation ne repose ni sur une codification écrite dominante, ni sur une centralisation bureaucratique de type impérial, mais sur l’articulation entre mémoire, parole, médiation et pluralité des autorités.</w:t>
      </w:r>
    </w:p>
    <w:p>
      <w:pPr>
        <w:pStyle w:val="BodyText"/>
        <w:rPr>
          <w:b w:val="false"/>
          <w:bCs w:val="false"/>
        </w:rPr>
      </w:pPr>
      <w:r>
        <w:rPr>
          <w:b w:val="false"/>
          <w:bCs w:val="false"/>
        </w:rPr>
        <w:t>L’arcalité y est mémorielle, lignagère et performative. Elle se forme dans les récits d’origine, les généalogies, les épopées, les proverbes et les savoirs transmis par les détenteurs autorisés de la parole, en particulier les djeliw. Cette mémoire n’est pas un dépôt passif. Elle constitue une réserve normative active à partir de laquelle les situations présentes peuvent être qualifiées, comparées et orientées.</w:t>
      </w:r>
    </w:p>
    <w:p>
      <w:pPr>
        <w:pStyle w:val="BodyText"/>
        <w:rPr>
          <w:b w:val="false"/>
          <w:bCs w:val="false"/>
        </w:rPr>
      </w:pPr>
      <w:r>
        <w:rPr>
          <w:b w:val="false"/>
          <w:bCs w:val="false"/>
        </w:rPr>
        <w:t>La cratialité s’y distribue selon une logique polycentrique. Souverains, chefs lignagers, autorités religieuses, responsables de marché, conseils de sages et médiateurs reconnus participent, selon des configurations variables, au traitement des situations. Cette pluralité n’implique pas absence d’ordre ; elle organise la complémentarité et la hiérarchisation des rôles. L’autorité est relationnelle, indexée à la position, à l’ancienneté, à la compétence reconnue et à la capacité de médiation.</w:t>
      </w:r>
    </w:p>
    <w:p>
      <w:pPr>
        <w:pStyle w:val="BodyText"/>
        <w:rPr>
          <w:b w:val="false"/>
          <w:bCs w:val="false"/>
        </w:rPr>
      </w:pPr>
      <w:r>
        <w:rPr>
          <w:b w:val="false"/>
          <w:bCs w:val="false"/>
        </w:rPr>
        <w:t>L’archicration s’exerce principalement par des dispositifs oraux et performatifs : palabres, arbitrages collectifs, serments, compensations, exclusions symboliques, réintégrations. La norme n’apparaît pas comme une règle abstraite préalablement fixée, mais comme le résultat d’une mise en accord, inscrite dans des formes ritualisées de parole et de décision. La régulation vise moins à sanctionner qu’à rétablir des équilibres, en réinscrivant les conflits dans la continuité du lien social.</w:t>
      </w:r>
    </w:p>
    <w:p>
      <w:pPr>
        <w:pStyle w:val="BodyText"/>
        <w:rPr>
          <w:b w:val="false"/>
          <w:bCs w:val="false"/>
        </w:rPr>
      </w:pPr>
      <w:r>
        <w:rPr>
          <w:b w:val="false"/>
          <w:bCs w:val="false"/>
        </w:rPr>
        <w:t>Ces formations montrent qu’une régulation pleinement opérante peut se déployer à partir d’une mémoire instituée, d’une parole réglée et d’une médiation collective, sans dépendre prioritairement de l’écriture juridique ou d’une souveraineté centralisée. Elles ne sont pas sans hiérarchies : la maîtrise de la parole légitime, l’accès à la mémoire autorisée et la capacité de médiation constituent des ressources de pouvoir inégalement distribuées. Mais elles donnent à voir une autre forme de tenue, fondée sur l’oralité instituée et la réparation du lien.</w:t>
      </w:r>
    </w:p>
    <w:p>
      <w:pPr>
        <w:pStyle w:val="BodyText"/>
        <w:rPr>
          <w:b w:val="false"/>
          <w:bCs w:val="false"/>
        </w:rPr>
      </w:pPr>
      <w:r>
        <w:rPr>
          <w:b w:val="false"/>
          <w:bCs w:val="false"/>
        </w:rPr>
        <w:t>Au terme de ce parcours, les médiations médiévales apparaissent moins comme des formes inachevées de l’État que comme des compositions archicratiques pleinement consistantes. La co-viabilité y est portée par l’entrecroisement de médiations théologiques, coutumières, lignagères, savantes, rituelles ou orales. Aucune de ces configurations ne relève d’un même modèle. Toutes montrent pourtant que l’ordre peut se maintenir sans publicité civique généralisée ni codification étatique unifiée, dès lors qu’existent des fondements reconnus, des autorités capables de les porter et des scènes où les tensions peuvent être traitées.</w:t>
      </w:r>
    </w:p>
    <w:p>
      <w:pPr>
        <w:pStyle w:val="BodyText"/>
        <w:rPr>
          <w:b w:val="false"/>
          <w:bCs w:val="false"/>
        </w:rPr>
      </w:pPr>
      <w:r>
        <w:rPr>
          <w:b w:val="false"/>
          <w:bCs w:val="false"/>
        </w:rPr>
        <w:t>L’apport du Moyen Âge est précisément là. Il montre que la normativité peut tenir par la révélation, la fidélité personnelle, la mémoire coutumière, l’interprétation savante ou la médiation réparatrice, sans passer d’abord par la forme moderne de la loi souveraine. Ces mondes ne sont ni pré-politiques, ni infra-régulés. Ils configurent autrement la scène archicratique : plus segmentée, plus stratifiée, plus incarnée, parfois plus diffuse, mais nullement moins opérante.</w:t>
      </w:r>
    </w:p>
    <w:p>
      <w:pPr>
        <w:pStyle w:val="BodyText"/>
        <w:rPr/>
      </w:pPr>
      <w:r>
        <w:rPr>
          <w:b w:val="false"/>
          <w:bCs w:val="false"/>
        </w:rPr>
        <w:t xml:space="preserve">La transition vers les monarchies renaissantes ne doit donc pas être pensée comme le dépassement simple de ces formes. Elle marque plutôt une tentative de captation et de hiérarchisation de leurs médiations. </w:t>
      </w:r>
      <w:r>
        <w:rPr/>
        <w:t>Avec la centralisation monarchique, la montée de l’État dynastique et la systématisation des appareils de commandement, un autre agencement se met en place : les médiations religieuses, féodales, coutumières ou orales ne disparaissent pas ; elles sont progressivement captées, hiérarchisées et intégrées dans une architecture de souveraineté.</w:t>
      </w:r>
    </w:p>
    <w:p>
      <w:pPr>
        <w:pStyle w:val="BodyText"/>
        <w:rPr>
          <w:b w:val="false"/>
          <w:bCs w:val="false"/>
        </w:rPr>
      </w:pPr>
      <w:r>
        <w:rPr>
          <w:b w:val="false"/>
          <w:bCs w:val="false"/>
        </w:rPr>
        <w:t>C’est cette mutation qu’examine la sous-section suivante.</w:t>
      </w:r>
    </w:p>
    <w:p>
      <w:pPr>
        <w:pStyle w:val="Heading3"/>
        <w:numPr>
          <w:ilvl w:val="2"/>
          <w:numId w:val="2"/>
        </w:numPr>
        <w:rPr/>
      </w:pPr>
      <w:r>
        <w:rPr/>
        <w:t>2.3.3 — Monarchies renaissantes, souveraineté dynastique et captation des médiations</w:t>
      </w:r>
    </w:p>
    <w:p>
      <w:pPr>
        <w:pStyle w:val="BodyText"/>
        <w:rPr/>
      </w:pPr>
      <w:r>
        <w:rPr>
          <w:b w:val="false"/>
          <w:bCs w:val="false"/>
        </w:rPr>
        <w:t xml:space="preserve">Le moment monarchique renaissant ne doit pas être compris comme un renforcement quantitatif de l’autorité royale. Il désigne une reconfiguration profonde de la co-viabilité politique. </w:t>
      </w:r>
      <w:r>
        <w:rPr/>
        <w:t>L’ordre cesse progressivement d’être porté par l’entrelacs médiéval des médiations féodales, ecclésiales, coutumières et juridictionnelles ; il tend à se recentrer autour d’un principe de souveraineté plus unifié, capable de confirmer, hiérarchiser, intégrer ou suspendre les médiations anciennes.</w:t>
      </w:r>
    </w:p>
    <w:p>
      <w:pPr>
        <w:pStyle w:val="BodyText"/>
        <w:rPr>
          <w:b w:val="false"/>
          <w:bCs w:val="false"/>
        </w:rPr>
      </w:pPr>
      <w:r>
        <w:rPr>
          <w:b w:val="false"/>
          <w:bCs w:val="false"/>
        </w:rPr>
        <w:t>Il serait pourtant simplificateur d’y voir l’avènement immédiat d’un État moderne pleinement constitué. Les monarchies des XVe et XVIe siècles composent encore avec des héritages puissants : privilèges territoriaux, droits acquis, juridictions concurrentes, corps intermédiaires, résistances locales, légitimations religieuses, fidélités nobiliaires. Mais un déplacement décisif s’opère. L’ordre tend désormais à se fonder moins sur la pluralité relativement autonome des appartenances que sur la capacité d’un centre souverain à produire, diffuser et faire exécuter la règle.</w:t>
      </w:r>
    </w:p>
    <w:p>
      <w:pPr>
        <w:pStyle w:val="BodyText"/>
        <w:rPr>
          <w:b w:val="false"/>
          <w:bCs w:val="false"/>
        </w:rPr>
      </w:pPr>
      <w:r>
        <w:rPr>
          <w:b w:val="false"/>
          <w:bCs w:val="false"/>
        </w:rPr>
        <w:t>Cette mutation engage trois mouvements. D’abord, une concentration nouvelle de l’arcalité autour de la fonction royale, moins comme simple garante d’un ordre reçu que comme principe d’un ordre à produire. Ensuite, une consolidation de la cratialité, par des appareils plus continus de commandement, de prélèvement, de contrôle et de relais. Enfin, une transformation de l’archicration, par l’essor des écritures administratives, de l’imprimé, de la formalisation juridique et des premières techniques d’encadrement territorial.</w:t>
      </w:r>
    </w:p>
    <w:p>
      <w:pPr>
        <w:pStyle w:val="BodyText"/>
        <w:rPr>
          <w:b w:val="false"/>
          <w:bCs w:val="false"/>
        </w:rPr>
      </w:pPr>
      <w:r>
        <w:rPr>
          <w:b w:val="false"/>
          <w:bCs w:val="false"/>
        </w:rPr>
        <w:t>Il faut donc lire les monarchies renaissantes comme une configuration de captation. Elles ne détruisent pas d’un coup les médiations médiévales ; elles les réinscrivent dans une architecture où la couronne tend à devenir le lieu supérieur de leur validation. La coutume demeure, mais elle est confirmée. Le privilège subsiste, mais il est reconnu ou limité. La juridiction locale continue d’agir, mais elle peut être appelée, réformée ou concurrencée. Le corps intermédiaire conserve une fonction, mais sa légitimité se trouve de plus en plus rapportée à un centre.</w:t>
      </w:r>
    </w:p>
    <w:p>
      <w:pPr>
        <w:pStyle w:val="BodyText"/>
        <w:rPr>
          <w:b w:val="false"/>
          <w:bCs w:val="false"/>
        </w:rPr>
      </w:pPr>
      <w:r>
        <w:rPr>
          <w:b w:val="false"/>
          <w:bCs w:val="false"/>
        </w:rPr>
        <w:t>Machiavel, Bodin et Hobbes peuvent être convoqués comme témoins doctrinaux de ce déplacement, non comme les auteurs d’un même système. Machiavel rend pensable la puissance comme art de conservation et d’efficacité dans un monde instable. Bodin donne à la souveraineté sa formulation théorique majeure comme puissance supérieure et non dérivée. Hobbes radicalise la nécessité d’un centre capable d’empêcher la dissolution du lien dans la guerre diffuse. Ces pensées ne produisent pas à elles seules la monarchie moderne ; elles rendent lisible la transformation du fondement, de la puissance et de la scène d’ordre.</w:t>
      </w:r>
    </w:p>
    <w:p>
      <w:pPr>
        <w:pStyle w:val="BodyText"/>
        <w:rPr>
          <w:b w:val="false"/>
          <w:bCs w:val="false"/>
        </w:rPr>
      </w:pPr>
      <w:r>
        <w:rPr>
          <w:b w:val="false"/>
          <w:bCs w:val="false"/>
        </w:rPr>
        <w:t>Avec les monarchies renaissantes, l’arcalité se déplace. Elle ne disparaît pas dans l’arbitraire du commandement, mais elle cesse de se distribuer principalement entre coutumes, lignages, autorités ecclésiales, privilèges territoriaux et précédents féodaux. Elle tend à se condenser dans une instance unificatrice : la souveraineté monarchique, entendue comme capacité de donner forme à l’ordre depuis un centre supérieur.</w:t>
      </w:r>
    </w:p>
    <w:p>
      <w:pPr>
        <w:pStyle w:val="BodyText"/>
        <w:rPr>
          <w:b w:val="false"/>
          <w:bCs w:val="false"/>
        </w:rPr>
      </w:pPr>
      <w:r>
        <w:rPr>
          <w:b w:val="false"/>
          <w:bCs w:val="false"/>
        </w:rPr>
        <w:t>Ce déplacement ne doit pas être caricaturé. Le roi ne remplace pas brutalement tous les autres fondements. Il continue de s’appuyer sur la tradition, la religion, la noblesse, les corps, les parlements, les usages et les mémoires politiques. Mais ces éléments se trouvent progressivement réordonnés. Ils cessent d’apparaître comme des sources entièrement autonomes de validité ; ils deviennent des médiations que la couronne peut confirmer, arbitrer, intégrer ou limiter.</w:t>
      </w:r>
    </w:p>
    <w:p>
      <w:pPr>
        <w:pStyle w:val="BodyText"/>
        <w:rPr/>
      </w:pPr>
      <w:r>
        <w:rPr>
          <w:b w:val="false"/>
          <w:bCs w:val="false"/>
        </w:rPr>
        <w:t xml:space="preserve">Bodin marque ici un seuil théorique. </w:t>
      </w:r>
      <w:r>
        <w:rPr/>
        <w:t>Dans Les Six Livres de la République, la souveraineté excède la suprématie de fait.</w:t>
      </w:r>
      <w:r>
        <w:rPr>
          <w:b w:val="false"/>
          <w:bCs w:val="false"/>
        </w:rPr>
        <w:t xml:space="preserve"> Elle est pensée comme puissance absolue et perpétuelle, c’est-à-dire comme principe de non-dérivation du pouvoir politique suprême. L’importance de ce geste ne tient pas à un simple renforcement du roi. Elle tient à la redéfinition du lieu du fondement : l’ordre politique trouve son unité dans une puissance capable de dire la loi au-dessus des parties.</w:t>
      </w:r>
    </w:p>
    <w:p>
      <w:pPr>
        <w:pStyle w:val="BodyText"/>
        <w:rPr/>
      </w:pPr>
      <w:r>
        <w:rPr>
          <w:b w:val="false"/>
          <w:bCs w:val="false"/>
        </w:rPr>
        <w:t xml:space="preserve">Cette arcalité monarchique n’est pas pleinement désacralisée. Elle conserve des appuis théologiques, cérémoniels et symboliques : majesté, onction, entrées royales, emblèmes, liturgies de cour, représentation du corps royal. Mais son originalité tient à la combinaison de cette sacralité résiduelle avec une logique d’unification juridico-politique. </w:t>
      </w:r>
      <w:r>
        <w:rPr/>
        <w:t>Le roi cesse de valoir principalement comme image terrestre d’un ordre supérieur ; il tend à devenir l’instance à partir de laquelle l’ordre reçoit sa cohérence politique.</w:t>
      </w:r>
    </w:p>
    <w:p>
      <w:pPr>
        <w:pStyle w:val="BodyText"/>
        <w:rPr>
          <w:b w:val="false"/>
          <w:bCs w:val="false"/>
        </w:rPr>
      </w:pPr>
      <w:r>
        <w:rPr>
          <w:b w:val="false"/>
          <w:bCs w:val="false"/>
        </w:rPr>
        <w:t>L’arcalité monarchique renaissante est donc à la fois incarnée et productive. Incarnée, parce qu’elle se concentre dans une personne, un corps, une dynastie, une majesté visible. Productive, parce que cette incarnation ne se borne plus à protéger un ordre reçu. Elle devient point de génération normative, capable de recomposer les hiérarchies, d’intégrer les médiations anciennes et de donner au royaume une unité plus abstraite.</w:t>
      </w:r>
    </w:p>
    <w:p>
      <w:pPr>
        <w:pStyle w:val="BodyText"/>
        <w:rPr>
          <w:b w:val="false"/>
          <w:bCs w:val="false"/>
        </w:rPr>
      </w:pPr>
      <w:r>
        <w:rPr>
          <w:b w:val="false"/>
          <w:bCs w:val="false"/>
        </w:rPr>
        <w:t>La cratialité connaît un déplacement parallèle. Elle cesse progressivement d’être dominée par la dispersion féodale des puissances et par la superposition des dépendances personnelles. Elle tend à se concentrer dans des chaînes de commandement plus continues, des relais administratifs plus stables et des dispositifs d’intervention qui donnent au centre une prise accrue sur le territoire, les populations et les conduites.</w:t>
      </w:r>
    </w:p>
    <w:p>
      <w:pPr>
        <w:pStyle w:val="BodyText"/>
        <w:rPr>
          <w:b w:val="false"/>
          <w:bCs w:val="false"/>
        </w:rPr>
      </w:pPr>
      <w:r>
        <w:rPr>
          <w:b w:val="false"/>
          <w:bCs w:val="false"/>
        </w:rPr>
        <w:t>Cette dynamique demeure incomplète et conflictuelle. Les monarchies renaissantes restent travaillées par les résistances locales, les autonomies urbaines, les privilèges, les juridictions particulières et les héritages seigneuriaux. Mais le pouvoir cherche à devenir moins occasionnel, moins cérémoniel, moins dépendant des seules fidélités interpersonnelles. Il tend à devenir continu, relayé, cumulatif.</w:t>
      </w:r>
    </w:p>
    <w:p>
      <w:pPr>
        <w:pStyle w:val="BodyText"/>
        <w:rPr/>
      </w:pPr>
      <w:r>
        <w:rPr>
          <w:b w:val="false"/>
          <w:bCs w:val="false"/>
        </w:rPr>
        <w:t xml:space="preserve">Machiavel formule l’une des dimensions décisives de cette cratialité. </w:t>
      </w:r>
      <w:r>
        <w:rPr/>
        <w:t>La puissance cesse d’être pensée principalement sous l’horizon du juste, du licite ou du traditionnel.</w:t>
      </w:r>
      <w:r>
        <w:rPr>
          <w:b w:val="false"/>
          <w:bCs w:val="false"/>
        </w:rPr>
        <w:t xml:space="preserve"> Elle est rapportée à sa conservation, à son efficacité, à sa capacité à gouverner l’instabilité. Le prince ne vaut pas parce qu’il incarne un bien supérieur, mais parce qu’il sait maintenir l’ordre dans un monde exposé à la fortune, à la conflictualité et aux retournements. La cratialité devient stratégique.</w:t>
      </w:r>
    </w:p>
    <w:p>
      <w:pPr>
        <w:pStyle w:val="BodyText"/>
        <w:rPr>
          <w:b w:val="false"/>
          <w:bCs w:val="false"/>
        </w:rPr>
      </w:pPr>
      <w:r>
        <w:rPr>
          <w:b w:val="false"/>
          <w:bCs w:val="false"/>
        </w:rPr>
        <w:t>Hobbes radicalise plus tard ce problème. La puissance souveraine n’est plus seulement un art de durer ; elle devient condition d’un ordre possible face à la peur de la dissolution violente. Le souverain n’est pas là pour parfaire moralement la communauté, mais pour rendre l’ordre plus redoutable que le chaos. Cette formulation appartient à un seuil doctrinal plus tardif, mais elle éclaire la tendance monarchique à concentrer la puissance pour prévenir la dispersion des conflits.</w:t>
      </w:r>
    </w:p>
    <w:p>
      <w:pPr>
        <w:pStyle w:val="BodyText"/>
        <w:rPr>
          <w:b w:val="false"/>
          <w:bCs w:val="false"/>
        </w:rPr>
      </w:pPr>
      <w:r>
        <w:rPr>
          <w:b w:val="false"/>
          <w:bCs w:val="false"/>
        </w:rPr>
        <w:t>Cette mutation prend corps dans des dispositifs matériels : armées plus permanentes, fiscalités plus régulières, offices, intendances, réseaux d’agents, circulation des ordres, enregistrement des décisions, surveillance urbaine, contrôle des marchés, police naissante. Le pouvoir cesse d’être seulement sommet symbolique ; il devient capacité d’action relayée.</w:t>
      </w:r>
    </w:p>
    <w:p>
      <w:pPr>
        <w:pStyle w:val="BodyText"/>
        <w:rPr>
          <w:b w:val="false"/>
          <w:bCs w:val="false"/>
        </w:rPr>
      </w:pPr>
      <w:r>
        <w:rPr>
          <w:b w:val="false"/>
          <w:bCs w:val="false"/>
        </w:rPr>
        <w:t>La police des monarchies classiques doit être entendue en ce sens large. Elle excède la répression. Elle renvoie à des techniques d’administration de la cité, de surveillance des désordres, de gestion des circulations, de classement des populations et d’encadrement des comportements. La cratialité monarchique ne se contente plus de punir après coup. Elle cherche à prévenir, répartir, ordonner en amont.</w:t>
      </w:r>
    </w:p>
    <w:p>
      <w:pPr>
        <w:pStyle w:val="BodyText"/>
        <w:rPr>
          <w:b w:val="false"/>
          <w:bCs w:val="false"/>
        </w:rPr>
      </w:pPr>
      <w:r>
        <w:rPr>
          <w:b w:val="false"/>
          <w:bCs w:val="false"/>
        </w:rPr>
        <w:t>Le pouvoir devient alors vertical dans son principe, mais réticulaire dans ses vecteurs. Il se réclame d’un centre souverain, mais il ne peut agir sans relais, bureaux, écritures, agents, registres, procédures. La force ne disparaît pas ; elle change d’économie. Elle n’est plus seulement démonstration de majesté ou irruption punitive. Elle devient suivi des conduites, administration des hommes, capacité de faire circuler l’ordre dans les mailles du royaume.</w:t>
      </w:r>
    </w:p>
    <w:p>
      <w:pPr>
        <w:pStyle w:val="BodyText"/>
        <w:rPr>
          <w:b w:val="false"/>
          <w:bCs w:val="false"/>
        </w:rPr>
      </w:pPr>
      <w:r>
        <w:rPr>
          <w:b w:val="false"/>
          <w:bCs w:val="false"/>
        </w:rPr>
        <w:t>L’archicration monarchique se transforme à son tour. La règle ne vaut plus principalement par l’ancienneté de l’usage, par la seule autorité de la coutume ou par l’épaisseur d’une médiation religieuse. Elle tend à s’imposer comme norme formulée, publiée, stabilisée et rendue opposable dans des formes plus homogènes. L’obligation ne disparaît pas dans l’arbitraire ; elle se fixe dans des procédures d’énonciation, de circulation et de consignation.</w:t>
      </w:r>
    </w:p>
    <w:p>
      <w:pPr>
        <w:pStyle w:val="BodyText"/>
        <w:rPr>
          <w:b w:val="false"/>
          <w:bCs w:val="false"/>
        </w:rPr>
      </w:pPr>
      <w:r>
        <w:rPr>
          <w:b w:val="false"/>
          <w:bCs w:val="false"/>
        </w:rPr>
        <w:t>L’imprimerie joue ici un rôle d’opérateur, non de cause unique. Elle ne crée pas la normativité monarchique, mais elle en modifie la portée : diffusion plus régulière, stabilisation relative des textes, reproductibilité des actes, circulation des édits, ordonnances, déclarations, recueils, commentaires et compilations. La règle devient plus présente, plus reconnaissable, plus durable à l’échelle du royaume.</w:t>
      </w:r>
    </w:p>
    <w:p>
      <w:pPr>
        <w:pStyle w:val="BodyText"/>
        <w:rPr>
          <w:b w:val="false"/>
          <w:bCs w:val="false"/>
        </w:rPr>
      </w:pPr>
      <w:r>
        <w:rPr>
          <w:b w:val="false"/>
          <w:bCs w:val="false"/>
        </w:rPr>
        <w:t>Ce qui change n’est donc pas l’existence de l’écrit, déjà central dans les mondes médiévaux. Ce qui change est son régime d’effectuation. La norme tend à devenir plus uniformément identifiable, plus transmissible, plus susceptible d’être invoquée comme expression d’un centre souverain. Elle gagne en fixité apparente, en continuité matérielle et en possibilité de contrôle.</w:t>
      </w:r>
    </w:p>
    <w:p>
      <w:pPr>
        <w:pStyle w:val="BodyText"/>
        <w:rPr>
          <w:b w:val="false"/>
          <w:bCs w:val="false"/>
        </w:rPr>
      </w:pPr>
      <w:r>
        <w:rPr>
          <w:b w:val="false"/>
          <w:bCs w:val="false"/>
        </w:rPr>
        <w:t>On peut parler ici de positivation croissante de la règle. La loi tend à valoir moins par son inscription dans une tradition sacrée ou coutumière que par son énonciation autorisée dans un cadre souverain. Il ne s’agit pas encore d’un positivisme juridique pleinement constitué. Mais le mouvement est décisif : la norme devient liée à la procédure qui la produit, à la forme qui la stabilise et à l’appareil qui la fait exister socialement.</w:t>
      </w:r>
    </w:p>
    <w:p>
      <w:pPr>
        <w:pStyle w:val="BodyText"/>
        <w:rPr>
          <w:b w:val="false"/>
          <w:bCs w:val="false"/>
        </w:rPr>
      </w:pPr>
      <w:r>
        <w:rPr>
          <w:b w:val="false"/>
          <w:bCs w:val="false"/>
        </w:rPr>
        <w:t>Cette convergence entre formalisation de la règle, capacité de publication et prise administrative sur les situations donne à l’archicration monarchique sa forme propre. Elle n’est plus principalement liturgique comme dans la chrétienté médiévale, ni principalement coutumière comme dans les mondes féodo-seigneuriaux. Elle devient textuellement stabilisée, procéduralement soutenue et politiquement rapportée à un centre d’énonciation.</w:t>
      </w:r>
    </w:p>
    <w:p>
      <w:pPr>
        <w:pStyle w:val="BodyText"/>
        <w:rPr>
          <w:b w:val="false"/>
          <w:bCs w:val="false"/>
        </w:rPr>
      </w:pPr>
      <w:r>
        <w:rPr>
          <w:b w:val="false"/>
          <w:bCs w:val="false"/>
        </w:rPr>
        <w:t>Le moment absolutiste prolonge et durcit cette logique. Il constitue une intensification de la dynamique engagée, plutôt qu’un régime entièrement distinct : un ordre de plus en plus rapporté à un centre unique, relayé par des appareils de commandement, d’enregistrement et d’exécution plus serrés. La figure royale tend à concentrer davantage qu’une fonction d’arbitrage ; elle devient le foyer visible de la cohérence politique.</w:t>
      </w:r>
    </w:p>
    <w:p>
      <w:pPr>
        <w:pStyle w:val="BodyText"/>
        <w:rPr>
          <w:b w:val="false"/>
          <w:bCs w:val="false"/>
        </w:rPr>
      </w:pPr>
      <w:r>
        <w:rPr>
          <w:b w:val="false"/>
          <w:bCs w:val="false"/>
        </w:rPr>
        <w:t>La cratialité s’épaissit alors par le développement des offices, le renforcement des intendances, la stabilisation fiscale, les armées plus permanentes, la police plus régulière, le contrôle des flux, des populations et des conduites. L’ordre monarchique gagne en continuité, mais cette continuité exige davantage d’écritures, de relais, de procédures, donc davantage de points de friction entre le centre et le corps social.</w:t>
      </w:r>
    </w:p>
    <w:p>
      <w:pPr>
        <w:pStyle w:val="BodyText"/>
        <w:rPr>
          <w:b w:val="false"/>
          <w:bCs w:val="false"/>
        </w:rPr>
      </w:pPr>
      <w:r>
        <w:rPr>
          <w:b w:val="false"/>
          <w:bCs w:val="false"/>
        </w:rPr>
        <w:t>L’archicration se resserre. Elle ne disparaît pas : remontrances, résistances locales, négociations fiscales, conflits de juridiction, révoltes, appels et pratiques de médiation subsistent. Mais ces formes de reprise sont de plus en plus réinscrites dans un dispositif qui cherche moins à reconnaître le dissensus comme moment constitutif qu’à le requalifier comme perturbation à absorber. L’ordre monarchique absolu ne produit pas seulement la norme ; il tend à monopoliser les conditions de sa reformulation.</w:t>
      </w:r>
    </w:p>
    <w:p>
      <w:pPr>
        <w:pStyle w:val="BodyText"/>
        <w:rPr>
          <w:b w:val="false"/>
          <w:bCs w:val="false"/>
        </w:rPr>
      </w:pPr>
      <w:r>
        <w:rPr>
          <w:b w:val="false"/>
          <w:bCs w:val="false"/>
        </w:rPr>
        <w:t>Sa force est aussi sa fragilité. En centralisant fortement l’arcalité, en densifiant la cratialité et en resserrant l’archicration, le régime monarchique gagne en puissance d’unification. Mais il appauvrit certaines médiations qui rendaient l’ordre plus respirable, plus négociable, plus relayé par des scènes secondaires. À mesure qu’il prétend ramener l’ensemble à une cohérence plus ferme, il rend visibles les coûts de cette cohérence : surcharge normative, saturation administrative, rigidification des hiérarchies, résistances passives ou ouvertes.</w:t>
      </w:r>
    </w:p>
    <w:p>
      <w:pPr>
        <w:pStyle w:val="BodyText"/>
        <w:rPr>
          <w:b w:val="false"/>
          <w:bCs w:val="false"/>
        </w:rPr>
      </w:pPr>
      <w:r>
        <w:rPr>
          <w:b w:val="false"/>
          <w:bCs w:val="false"/>
        </w:rPr>
        <w:t>La critique moderne de l’absolutisme naît dans cet espace de tension. Elle ne surgit pas d’un refus de toute régulation, mais d’une contestation de sa monopolisation. Ce qui devient de moins en moins supportable, ce n’est pas l’existence de la norme ; c’est sa captation par une source unique, son opacité croissante, l’asymétrie entre l’unification des obligations et la faiblesse des scènes légitimes de reprise.</w:t>
      </w:r>
    </w:p>
    <w:p>
      <w:pPr>
        <w:pStyle w:val="BodyText"/>
        <w:rPr>
          <w:b w:val="false"/>
          <w:bCs w:val="false"/>
        </w:rPr>
      </w:pPr>
      <w:r>
        <w:rPr>
          <w:b w:val="false"/>
          <w:bCs w:val="false"/>
        </w:rPr>
        <w:t>Les Lumières, les théories de la séparation des pouvoirs, les doctrines de la souveraineté nationale ou populaire se déploieront sur ce fond. Elles ne naissent pas contre l’exigence d’ordre, mais contre la concentration de ses fondements, de ses opérations et de ses scènes de révision dans un centre monarchique devenu trop étroit pour porter les tensions qu’il produit.</w:t>
      </w:r>
    </w:p>
    <w:p>
      <w:pPr>
        <w:pStyle w:val="BodyText"/>
        <w:rPr>
          <w:b w:val="false"/>
          <w:bCs w:val="false"/>
        </w:rPr>
      </w:pPr>
      <w:r>
        <w:rPr>
          <w:b w:val="false"/>
          <w:bCs w:val="false"/>
        </w:rPr>
        <w:t>Les monarchies renaissantes et absolutistes occupent donc une place décisive dans la généalogie archicratique. Elles ne sont pas seulement un moment de transition entre féodalité et modernité politique. Elles constituent un seuil propre : l’ordre devient plus explicitement produit, plus massivement relayé, plus techniquement soutenu, plus étroitement rapporté à une souveraineté de centralisation.</w:t>
      </w:r>
    </w:p>
    <w:p>
      <w:pPr>
        <w:pStyle w:val="BodyText"/>
        <w:rPr>
          <w:b w:val="false"/>
          <w:bCs w:val="false"/>
        </w:rPr>
      </w:pPr>
      <w:r>
        <w:rPr>
          <w:b w:val="false"/>
          <w:bCs w:val="false"/>
        </w:rPr>
        <w:t>Elles montrent jusqu’où une société peut chercher à faire tenir ensemble fondement, puissance et régulation dans l’unité d’un même centre. Elles montrent aussi à partir de quel point cette réussite prépare sa propre crise : lorsque l’unification de l’ordre affaiblit les scènes où cet ordre peut encore être repris.</w:t>
      </w:r>
    </w:p>
    <w:p>
      <w:pPr>
        <w:pStyle w:val="BodyText"/>
        <w:rPr/>
      </w:pPr>
      <w:r>
        <w:rPr>
          <w:b w:val="false"/>
          <w:bCs w:val="false"/>
        </w:rPr>
        <w:t xml:space="preserve">La sous-section suivante s’ouvrira sur cette crise transformatrice. Les régimes modernes ne naîtront pas contre toute régulation, mais à partir d’une redistribution de ses lieux, de ses justifications et de ses procédures. </w:t>
      </w:r>
      <w:r>
        <w:rPr/>
        <w:t>Ce qui se déplace alors n’est pas la nécessité de réguler. C’est la scène à partir de laquelle la règle peut prétendre valoir : du corps du roi vers des formes nouvelles de publicité, de représentation, d’administration et de légitimation politique.</w:t>
      </w:r>
    </w:p>
    <w:p>
      <w:pPr>
        <w:pStyle w:val="Heading3"/>
        <w:numPr>
          <w:ilvl w:val="2"/>
          <w:numId w:val="2"/>
        </w:numPr>
        <w:rPr/>
      </w:pPr>
      <w:r>
        <w:rPr/>
        <w:t>2.3.4 — Régimes disciplinaires, industriels et coloniaux : la norme comme milieu</w:t>
      </w:r>
    </w:p>
    <w:p>
      <w:pPr>
        <w:pStyle w:val="BodyText"/>
        <w:rPr/>
      </w:pPr>
      <w:r>
        <w:rPr/>
        <w:t>Le XIXe siècle marque une inflexion majeure dans l’histoire des régimes de co-viabilité. L’ordre s’y détache progressivement de la centralité visible d’une souveraineté incarnée, de la seule autorité de la loi proclamée et de l’épaisseur coutumière des médiations héritées. Il tend à se soutenir par des institutions, des dispositifs d’encadrement, des procédures répétitives et des environnements réglés qui organisent les conduites en amont même de leur formulation explicite.</w:t>
      </w:r>
    </w:p>
    <w:p>
      <w:pPr>
        <w:pStyle w:val="BodyText"/>
        <w:rPr/>
      </w:pPr>
      <w:r>
        <w:rPr/>
        <w:t>Ce qui se transforme alors touche à la texture même de la régulation, autant qu’à son intensité. La norme cesse d’apparaître d’abord comme commandement pour se déployer comme milieu. Elle s’inscrit dans des espaces, des horaires, des parcours, des classements, des évaluations, des gestes attendus, des écarts corrigibles. Elle ne disparaît pas comme règle ; elle devient environnement d’action.</w:t>
      </w:r>
    </w:p>
    <w:p>
      <w:pPr>
        <w:pStyle w:val="BodyText"/>
        <w:rPr/>
      </w:pPr>
      <w:r>
        <w:rPr/>
        <w:t>Cette mutation ne doit pas être comprise comme une substitution pure de l’institution à la souveraineté. Le XIXe siècle ne fait pas disparaître l’État, la loi, la propriété, le commandement ou la sanction. Il les relaie et les prolonge à travers des formes d’encadrement plus fines, plus continues et plus incorporées. École, caserne, hôpital, prison, usine, administration, empire colonial : autant de scènes où l’ordre se reproduit par distribution des places, surveillance des trajectoires, séquençage des temps, normalisation des gestes, classement des aptitudes et correction des écarts.</w:t>
      </w:r>
    </w:p>
    <w:p>
      <w:pPr>
        <w:pStyle w:val="BodyText"/>
        <w:rPr/>
      </w:pPr>
      <w:r>
        <w:rPr/>
        <w:t>Il faut donc lire ce siècle comme un champ d’intensification archicratique. D’un côté, les régimes disciplinaires et industriels objectivent la norme dans les sociétés européennes et nord-atlantiques. De l’autre, ils se projettent dans des dispositifs coloniaux profondément asymétriques. Enfin, ils rencontrent des contre-formes de co-viabilité, ouvrières, communautaires, autochtones ou associatives, qui ne relèvent ni d’une survivance archaïque ni d’une simple réaction marginale.</w:t>
      </w:r>
    </w:p>
    <w:p>
      <w:pPr>
        <w:pStyle w:val="BodyText"/>
        <w:rPr/>
      </w:pPr>
      <w:r>
        <w:rPr/>
        <w:t>Le cœur disciplinaire de cette mutation se déploie dans une série d’institutions qui ont pour trait commun de faire tenir les conduites par leur organisation concrète. L’école, la caserne, l’hôpital et la prison ne se réduisent pas à des lieux spécialisés. Ce sont des matrices où s’expérimente une même logique : encadrement continu, répartition des corps, séquençage des temps, écriture des écarts, correction des conduites.</w:t>
      </w:r>
    </w:p>
    <w:p>
      <w:pPr>
        <w:pStyle w:val="BodyText"/>
        <w:rPr/>
      </w:pPr>
      <w:r>
        <w:rPr/>
        <w:t>Ce qui les rapproche n’est pas leur finalité. Instruire, former au combat, soigner ou punir ne relèvent pas du même geste. Mais leur opérativité présente une parenté forte : espace fermé ou semi-fermé, rythme réglé, hiérarchie de surveillance, appareillage d’écriture ou de notation, capacité de sanction ou de réajustement. L’ordre s’y soutient par la répétition de pratiques qui rendent certains comportements attendus, d’autres déviants, d’autres encore mesurables et perfectibles.</w:t>
      </w:r>
    </w:p>
    <w:p>
      <w:pPr>
        <w:pStyle w:val="BodyText"/>
        <w:rPr/>
      </w:pPr>
      <w:r>
        <w:rPr/>
        <w:t>L’école donne l’une des figures les plus lisibles de cette mutation. Elle transmet des savoirs en instituant une forme scolaire : salle ordonnée, temps découpé, alternance du silence et de la parole autorisée, exercices répétés, devoirs, classements, inspections, examens. L’arcalité s’y dépose dans un cadre spatial et scripturaire qui lie apprentissage, discipline du corps et formation de l’attention. La cratialité s’exerce par l’enseignant, l’inspecteur, le règlement et l’évaluation. L’archicration se loge dans les opérations par lesquelles l’élève est situé, comparé, repris et orienté selon une norme de progression.</w:t>
      </w:r>
    </w:p>
    <w:p>
      <w:pPr>
        <w:pStyle w:val="BodyText"/>
        <w:rPr/>
      </w:pPr>
      <w:r>
        <w:rPr/>
        <w:t>La caserne pousse cette logique vers la disponibilité immédiate du corps. L’apprentissage militaire y transmet une compétence de combat en organisant une disposition intégrale du geste, de la posture, du déplacement et de la réponse à l’ordre. Répétition, cadence, drill, grades, sanction rapide, précision du commandement : la conformité y vaut comme synchronisation du corps avec une chaîne de puissance.</w:t>
      </w:r>
    </w:p>
    <w:p>
      <w:pPr>
        <w:pStyle w:val="BodyText"/>
        <w:rPr/>
      </w:pPr>
      <w:r>
        <w:rPr/>
        <w:t>L’hôpital moderne constitue une autre scène décisive. Il ne s’agit plus seulement d’accueillir ou d’assister les malades, mais d’organiser un espace d’observation, de classement, de traitement et de surveillance où le corps devient lisible à travers des catégories, des dossiers, des diagnostics et des protocoles. Le patient est gouverné comme sujet de soin, mais aussi comme cas, trajectoire, symptôme, risque et objet de normalisation.</w:t>
      </w:r>
    </w:p>
    <w:p>
      <w:pPr>
        <w:pStyle w:val="BodyText"/>
        <w:rPr/>
      </w:pPr>
      <w:r>
        <w:rPr/>
        <w:t>La prison rend visible, avec une intensité particulière, la logique disciplinaire du siècle. Le châtiment n’y vise plus principalement l’exposition publique de la peine. Il devient enfermement réglé, découpage du temps, isolement, travail imposé, surveillance continue, notation des conduites. L’ordre carcéral organise un monde où les gestes, paroles, manquements et progrès peuvent être observés, enregistrés et interprétés.</w:t>
      </w:r>
    </w:p>
    <w:p>
      <w:pPr>
        <w:pStyle w:val="BodyText"/>
        <w:rPr/>
      </w:pPr>
      <w:r>
        <w:rPr/>
        <w:t>À travers ces figures, un seuil devient visible. La régulation ne s’exerce plus prioritairement sur des sujets abstraits de droit, ni sur des fidélités personnelles, ni sur des appartenances reçues. Elle prend appui sur des corps situés, des comportements répétables, des écarts mesurables, des trajectoires rectifiables. Le pouvoir disciplinaire agit surtout en configurant des scènes où les conduites deviennent comparables, corrigibles et intégrables dans un ordre plus vaste.</w:t>
      </w:r>
    </w:p>
    <w:p>
      <w:pPr>
        <w:pStyle w:val="BodyText"/>
        <w:rPr/>
      </w:pPr>
      <w:r>
        <w:rPr/>
        <w:t>L’usine industrielle constitue toutefois une matrice spécifique. Sa logique ne tient pas à l’enfermement, à la surveillance ou à la correction seules. Elle organise la co-viabilité à partir de l’exigence productive elle-même. Ce qui y régule n’est pas seulement la conduite des corps, mais leur insertion dans un schéma opératoire orienté vers le rendement, la continuité de l’exécution et la coordination des fonctions.</w:t>
      </w:r>
    </w:p>
    <w:p>
      <w:pPr>
        <w:pStyle w:val="BodyText"/>
        <w:rPr/>
      </w:pPr>
      <w:r>
        <w:rPr/>
        <w:t>L’arcalité industrielle tend à se fixer dans l’ordre fonctionnel de la production : poste, tâche, séquence, rendement, utilité assignée. Le travailleur vaut d’abord comme occupant d’une place dans une chaîne d’opérations qui le dépasse. L’espace de l’usine, la répartition des ateliers, la division des gestes, la dépendance aux cadences de la machine ou de l’ensemble productif ne forment pas un décor. Ils constituent un principe de fondation pratique. L’ordre devient recevable parce qu’il se présente comme nécessité de fonctionnement.</w:t>
      </w:r>
    </w:p>
    <w:p>
      <w:pPr>
        <w:pStyle w:val="BodyText"/>
        <w:rPr/>
      </w:pPr>
      <w:r>
        <w:rPr/>
        <w:t>La cratialité industrielle se distribue dans une hiérarchie intermédiaire : propriétaire, directeur, contremaîtres, chefs d’atelier, surveillants, commis. Elle se manifeste dans l’assignation des postes, le rappel à la cadence, la sanction des retards, le contrôle du geste, l’évaluation du rendement, la menace du renvoi ou du déclassement. Elle n’est plus purement personnelle, sans être encore pleinement bureaucratique : elle est fonctionnelle, situationnelle, incorporée à l’organisation même du travail.</w:t>
      </w:r>
    </w:p>
    <w:p>
      <w:pPr>
        <w:pStyle w:val="BodyText"/>
        <w:rPr/>
      </w:pPr>
      <w:r>
        <w:rPr/>
        <w:t>L’archicration industrielle se déploie dans la manière dont la norme est inscrite dans le milieu productif. Le temps devient exigence d’ajustement. Le geste est rapporté à une séquence. La présence, l’absence, la lenteur, la maladresse ou l’indiscipline deviennent lisibles à travers horaires, consignes, contrôles, rémunérations différenciées, retenues, primes et rythmes imposés. La règle n’a pas besoin d’être constamment proclamée ; elle s’objective dans l’enchaînement des opérations et dans les conséquences immédiates de l’écart.</w:t>
      </w:r>
    </w:p>
    <w:p>
      <w:pPr>
        <w:pStyle w:val="BodyText"/>
        <w:rPr/>
      </w:pPr>
      <w:r>
        <w:rPr/>
        <w:t>L’usine reçoit de la loi et de l’État une part de sa régulation, mais son ordre propre se forme aussi dans l’atelier : cadence, surveillance, hiérarchie, discipline des gestes, distribution des corps et mesure du temps. L’ordre industriel exige l’obéissance, mais il fabrique aussi une évidence pratique : chacun à sa place, à son heure, dans son rôle, selon son rendement attendu. La domination capitaliste passe par l’appropriation économique du travail et par une organisation matérielle et temporelle où le travail vivant se trouve subordonné à une logique abstraite de valorisation.</w:t>
      </w:r>
    </w:p>
    <w:p>
      <w:pPr>
        <w:pStyle w:val="BodyText"/>
        <w:rPr/>
      </w:pPr>
      <w:r>
        <w:rPr/>
        <w:t>Cette archicration industrielle reste toutefois portée, au XIXe siècle, par une figure encore visible : le patron. Avant la dissociation plus poussée entre propriété et direction, le propriétaire-capitaliste apparaît souvent comme principe d’ordonnancement de l’univers productif. Il fixe les règles, distribue les places, légitime les hiérarchies, décide des rythmes et peut prétendre donner à l’ensemble une cohérence morale. L’arcalité patronale se fonde sur la propriété comme titre à organiser le monde du travail.</w:t>
      </w:r>
    </w:p>
    <w:p>
      <w:pPr>
        <w:pStyle w:val="BodyText"/>
        <w:rPr/>
      </w:pPr>
      <w:r>
        <w:rPr/>
        <w:t>Les formes paternalistes rendent cette dimension particulièrement lisible. Logements ouvriers, écoles d’entreprise, dispensaires, coopératives, œuvres sociales, fêtes patronales : autant de dispositifs par lesquels le pouvoir industriel excède l’atelier pour encadrer la vie sociale. Le patron excède la fonction de chef de production ; il tend à se poser en garant d’un ordre global, économique, moral et spatial. La régulation vise alors la stabilisation d’une fidélité et d’une dépendance pratique à un monde organisé autour de l’entreprise.</w:t>
      </w:r>
    </w:p>
    <w:p>
      <w:pPr>
        <w:pStyle w:val="BodyText"/>
        <w:rPr/>
      </w:pPr>
      <w:r>
        <w:rPr/>
        <w:t>Il faut éviter deux erreurs. La première consisterait à réduire l’usine à une simple extension de l’école, de la caserne ou de la prison. La seconde serait d’y voir déjà le management scientifique pleinement formalisé du XXe siècle. Le XIXe siècle industriel occupe une position intermédiaire mais décisive : la norme y est fortement objectivée dans des dispositifs matériels et des hiérarchies fonctionnelles, sans que la rationalisation taylorienne ait encore entièrement décomposé le travail en protocoles abstraits d’optimisation.</w:t>
      </w:r>
    </w:p>
    <w:p>
      <w:pPr>
        <w:pStyle w:val="BodyText"/>
        <w:rPr/>
      </w:pPr>
      <w:r>
        <w:rPr/>
        <w:t>Cette dynamique disciplinaire et industrielle ne peut être comprise à partir des seuls espaces métropolitains. Le XIXe siècle est aussi le moment où les puissances européennes projettent hors d’elles-mêmes leurs dispositifs de régulation, en les réagençant dans des formes coloniales profondément dissymétriques. L’ordre n’y vise pas la co-viabilité entre partenaires reconnus comme équivalents. Il s’établit sur une hiérarchisation radicale des statuts, des droits, des savoirs et des formes de vie.</w:t>
      </w:r>
    </w:p>
    <w:p>
      <w:pPr>
        <w:pStyle w:val="BodyText"/>
        <w:rPr/>
      </w:pPr>
      <w:r>
        <w:rPr/>
        <w:t>L’arcalité coloniale repose sur une prétention de supériorité civilisationnelle, juridique et morale. La métropole s’y donne comme centre légitime de la norme. Cette prétention n’est pas une idéologie extérieure au dispositif ; elle en constitue un fondement opératoire. Elle autorise la requalification des sociétés dominées comme espaces à corriger, administrer, instruire, exploiter ou pacifier. Droit, école, mission, recensement, carte, impôt, encadrement du travail et distinction statutaire concourent à rendre les populations colonisées gouvernables à partir de catégories produites ailleurs.</w:t>
      </w:r>
    </w:p>
    <w:p>
      <w:pPr>
        <w:pStyle w:val="BodyText"/>
        <w:rPr/>
      </w:pPr>
      <w:r>
        <w:rPr/>
        <w:t>La cratialité coloniale articule coercition militaire, administration territoriale, hiérarchies raciales et médiations locales subordonnées. Gouverneurs, commandants, auxiliaires, juges coloniaux, missionnaires, instituteurs, chefs reconnus ou fabriqués composent une chaîne de pouvoir dont l’efficacité tient à la combinaison de violence, de savoir et de délégation inégale. Le colonial ne constitue pas un supplément extérieur du régime moderne ; il en radicalise certains traits : classification des populations, segmentation des droits, surveillance des croyances, gestion différentielle des mobilités et des usages.</w:t>
      </w:r>
    </w:p>
    <w:p>
      <w:pPr>
        <w:pStyle w:val="BodyText"/>
        <w:rPr/>
      </w:pPr>
      <w:r>
        <w:rPr/>
        <w:t xml:space="preserve">L’archicration coloniale prend alors la forme d’une normativité d’exception devenue ordinaire. Codes particuliers, statuts différenciés, régimes juridiques inégaux, traductions sélectives des coutumes, reconnaissance intéressée de certaines autorités locales. </w:t>
      </w:r>
      <w:r>
        <w:rPr/>
        <w:t>L</w:t>
      </w:r>
      <w:r>
        <w:rPr/>
        <w:t>’ordre colonial n’étend pas la règle européenne telle quelle. Il la fracture et la redouble. Il produit une co-viabilité asymétrique, dans laquelle la régulation ne vaut pas de manière homogène pour tous, mais organise une inégalité structurelle des scènes de recevabilité.</w:t>
      </w:r>
    </w:p>
    <w:p>
      <w:pPr>
        <w:pStyle w:val="BodyText"/>
        <w:rPr/>
      </w:pPr>
      <w:r>
        <w:rPr/>
        <w:t>Il faut cependant tenir ensemble domination coloniale et persistance d’autres grammaires de régulation. Les sociétés soumises ne se réduisent jamais complètement à l’ordre qui les encadre. Des formes autochtones, communautaires, religieuses, lignagères ou rituelles de co-viabilité subsistent, se recomposent, se déplacent ou se durcissent au contact même de la domination. Elles doivent être traitées comme régulations effectives, capables de maintenir des autorités, des mémoires, des procédures de décision et des horizons de légitimité irréductibles à la norme coloniale.</w:t>
      </w:r>
    </w:p>
    <w:p>
      <w:pPr>
        <w:pStyle w:val="BodyText"/>
        <w:rPr/>
      </w:pPr>
      <w:r>
        <w:rPr/>
        <w:t>Dans certains cas, cette persistance prend la forme d’une continuité communautaire : procédures orales, autorités tournantes, régulations lignagères, temporalités rituelles, rapports cosmologiques au territoire. Dans d’autres, elle se traduit par des reconfigurations nouvelles : solidarités ouvrières, syndicats, mutuelles, coopératives, formes de contre-institutionnalisation par lesquelles des groupes subalternes élaborent leurs propres scènes de coordination, de revendication et de discipline collective.</w:t>
      </w:r>
    </w:p>
    <w:p>
      <w:pPr>
        <w:pStyle w:val="BodyText"/>
        <w:rPr/>
      </w:pPr>
      <w:r>
        <w:rPr/>
        <w:t>Le XIXe siècle ne se réduit donc pas à l’universalisation d’un modèle disciplinaire et industriel. Il est aussi le lieu d’une confrontation entre plusieurs manières de rendre l’ordre pensable et praticable. D’un côté, une normativité objectivée, institutionnelle, industrielle et impériale, portée par l’État, l’entreprise et l’administration. De l’autre, des formes de régulation qui continuent de faire tenir la vie collective à partir de mémoires partagées, de récits, de rituels, d’accords communautaires, de médiations locales ou de contre-organisations émergentes.</w:t>
      </w:r>
    </w:p>
    <w:p>
      <w:pPr>
        <w:pStyle w:val="BodyText"/>
        <w:rPr/>
      </w:pPr>
      <w:r>
        <w:rPr/>
        <w:t>Ce contraste ne doit pas être lu comme opposition simple entre modernité et tradition, centre et périphérie, domination et authenticité. Il montre plutôt que le XIXe siècle constitue une scène d’intensification conflictuelle entre grammaires archicratiques hétérogènes. Les institutions disciplinaires, l’usine, l’administration coloniale, les solidarités ouvrières et les régulations communautaires ne relèvent pas d’un même principe. Elles se croisent, se heurtent, se recouvrent, se parasitent.</w:t>
      </w:r>
    </w:p>
    <w:p>
      <w:pPr>
        <w:pStyle w:val="BodyText"/>
        <w:rPr/>
      </w:pPr>
      <w:r>
        <w:rPr/>
        <w:t>L’ordre se soutient moins par proclamation que par environnement, moins par rappel du fondement que par organisation concrète des situations. L’ordre se soutient moins par proclamation que par environnement, moins par rappel du fondement que par organisation concrète des situations. Cette mutation vaut pour les institutions métropolitaines comme pour les projections coloniales du pouvoir, où la normativité moderne se durcit en administration différentielle des existences.</w:t>
      </w:r>
    </w:p>
    <w:p>
      <w:pPr>
        <w:pStyle w:val="BodyText"/>
        <w:rPr/>
      </w:pPr>
      <w:r>
        <w:rPr/>
        <w:t>C’est ce qui fait du XIXe siècle un moment charnière pour notre enquête. En objectivant la règle dans des dispositifs continus, il prépare les formes ultérieures de saturation normative, d’administration étendue et de gouvernement des populations. Mais il en laisse aussi paraître la contrepartie : fragilisation des médiations, extension des asymétries, conflictualité nouvelle autour des conditions mêmes de la recevabilité sociale.</w:t>
      </w:r>
    </w:p>
    <w:p>
      <w:pPr>
        <w:pStyle w:val="BodyText"/>
        <w:rPr/>
      </w:pPr>
      <w:r>
        <w:rPr/>
        <w:t>La sous-section suivante examinera cette radicalisation au XXe siècle, lorsque la régulation tendra, selon des voies distinctes, à se totaliser dans les régimes de masse, les appareils bureaucratiques et les technologies politiques du vivant.</w:t>
      </w:r>
    </w:p>
    <w:p>
      <w:pPr>
        <w:pStyle w:val="Heading3"/>
        <w:numPr>
          <w:ilvl w:val="2"/>
          <w:numId w:val="2"/>
        </w:numPr>
        <w:rPr/>
      </w:pPr>
      <w:r>
        <w:rPr/>
        <w:t>2.3.5 — Régimes totalitaires : saturation normative, violence systémique et fabrication du conforme</w:t>
      </w:r>
    </w:p>
    <w:p>
      <w:pPr>
        <w:pStyle w:val="BodyText"/>
        <w:rPr/>
      </w:pPr>
      <w:r>
        <w:rPr/>
        <w:t>Les régimes totalitaires du XXe siècle constituent un seuil singulier dans l’histoire des formes de régulation. Ils ne relèvent ni d’un durcissement de l’autorité classique, ni d’une dictature portée à son point extrême, ni de la seule radicalisation des dispositifs disciplinaires apparus au siècle précédent. Ils engagent une transformation plus profonde : la tentative de faire d’un principe unique de légitimation la matrice d’organisation de l’ensemble du monde social.</w:t>
      </w:r>
    </w:p>
    <w:p>
      <w:pPr>
        <w:pStyle w:val="BodyText"/>
        <w:rPr/>
      </w:pPr>
      <w:r>
        <w:rPr/>
        <w:t>Le totalitarisme vise davantage que l’obéissance extérieure. Il ne se satisfait pas de la discipline des comportements, ni de l’encadrement administratif des populations. Il tend à réduire la distance entre ordre prescrit, ordre perçu et ordre vécu. Sa singularité réside là : produire une configuration du monde dans laquelle tout dehors devient suspect, toute réserve coûteuse, toute hétérogénéité progressivement irrecevable.</w:t>
      </w:r>
    </w:p>
    <w:p>
      <w:pPr>
        <w:pStyle w:val="BodyText"/>
        <w:rPr/>
      </w:pPr>
      <w:r>
        <w:rPr/>
        <w:t>Une telle configuration impose une discipline d’analyse. La condamnation morale de ces régimes est nécessaire, mais elle ne dispense pas d’en reconstruire la structure. Il faut comprendre l’ampleur de la violence déployée et la manière dont ces régimes ont tenté de donner à leur ordre la forme d’une totalité légitime, cohérente, apparemment indépassable.</w:t>
      </w:r>
    </w:p>
    <w:p>
      <w:pPr>
        <w:pStyle w:val="BodyText"/>
        <w:rPr/>
      </w:pPr>
      <w:r>
        <w:rPr/>
        <w:t>L’approche archicratique permet ici de saisir une condensation extrême : le fondement se ferme, la puissance se diffuse, les scènes d’épreuve sont captées, et la norme travaille jusqu’aux conditions dans lesquelles une existence peut être pensée, exprimée, reconnue ou vécue. Le totalitarisme apparaît ainsi comme une configuration-limite de la co-viabilité imposée. Il ne cherche pas seulement à gouverner un monde ; il travaille à refermer l’espace même des possibles.</w:t>
      </w:r>
    </w:p>
    <w:p>
      <w:pPr>
        <w:pStyle w:val="BodyText"/>
        <w:rPr/>
      </w:pPr>
      <w:r>
        <w:rPr/>
        <w:t>Le premier trait distinctif de ces régimes tient à la construction d’une arcalité saturante. Un principe de fondation y est porté à un tel degré d’absolu qu’il tend à subordonner, absorber ou disqualifier toute autre source possible de validité. Race, histoire, nation, révolution, peuple : ces mots n’y valent pas comme thèmes idéologiques parmi d’autres. Ils deviennent opérateurs de totalisation.</w:t>
      </w:r>
    </w:p>
    <w:p>
      <w:pPr>
        <w:pStyle w:val="BodyText"/>
        <w:rPr/>
      </w:pPr>
      <w:r>
        <w:rPr/>
        <w:t>Il faut toutefois distinguer les formes de cette absolutisation. Dans le nazisme, le fondement est projeté dans une fiction biologique du collectif. Le peuple n’y est pas pensé comme pluralité politique, mais comme corps vivant menacé de corruption, de mélange et de dégénérescence. L’arcalité y naturalise l’ordre. Elle fait de l’appartenance une affaire de sang, de filiation et d’hérédité, et du pouvoir une fonction d’épuration.</w:t>
      </w:r>
    </w:p>
    <w:p>
      <w:pPr>
        <w:pStyle w:val="BodyText"/>
        <w:rPr/>
      </w:pPr>
      <w:r>
        <w:rPr/>
        <w:t>Le stalinisme procède autrement. Le fondement n’y est pas cherché dans la nature, mais dans l’histoire. Le Parti se présente comme l’instance capable de lire le sens du processus historique, d’en qualifier les ennemis, d’en interpréter les étapes et d’en précipiter l’accomplissement. L’arcalité soviétique historicise intégralement le monde. Le futur devient source de légitimation du présent, et la vérité du régime se mesure à sa prétention d’en connaître la direction nécessaire.</w:t>
      </w:r>
    </w:p>
    <w:p>
      <w:pPr>
        <w:pStyle w:val="BodyText"/>
        <w:rPr/>
      </w:pPr>
      <w:r>
        <w:rPr/>
        <w:t>Le fascisme italien occupe une position différente. Moins systématiquement biologisant que le nazisme, moins arrimé à une téléologie historique que le stalinisme, il travaille une arcalité du présent héroïsé. Son foyer de légitimation réside dans l’intensification liturgique de la nation, dans la stylisation virile du commandement, dans la mise en scène d’une unité à faire sentir autant qu’à démontrer. Le chef, la foule, les symboles et la mémoire impériale se renvoient une légitimité nourrie d’émotion publique et d’esthétique politique.</w:t>
      </w:r>
    </w:p>
    <w:p>
      <w:pPr>
        <w:pStyle w:val="BodyText"/>
        <w:rPr/>
      </w:pPr>
      <w:r>
        <w:rPr/>
        <w:t>Le maoïsme introduit encore une autre torsion. Son arcalité ne se stabilise ni dans une essence raciale, ni dans une monumentalisation de la nation, ni dans une téléologie figée. Elle repose sur une logique de refondation continue : rouvrir la révolution, rouvrir la lutte, rouvrir le procès de la pureté idéologique. Le fondement y tient moins à une fixité qu’à une mobilisation permanente. Le chef vaut comme point d’autorisation suprême de cette reprise violente.</w:t>
      </w:r>
    </w:p>
    <w:p>
      <w:pPr>
        <w:pStyle w:val="BodyText"/>
        <w:rPr/>
      </w:pPr>
      <w:r>
        <w:rPr/>
        <w:t>Ces formes ne se confondent pas. Le nazisme absolutise une appartenance biologique ; le stalinisme absolutise le sens de l’histoire ; le fascisme absolutise l’unité sensible de la nation ; le maoïsme absolutise la reprise révolutionnaire elle-même. Mais elles convergent en un point : chacune porte un principe de légitimation à un degré tel qu’aucune altérité régulatrice ne peut subsister comme contrepoids recevable.</w:t>
      </w:r>
    </w:p>
    <w:p>
      <w:pPr>
        <w:pStyle w:val="BodyText"/>
        <w:rPr/>
      </w:pPr>
      <w:r>
        <w:rPr/>
        <w:t>Religion autonome, juridicité indépendante, savoir savant non aligné, mémoire dissidente, communauté partiellement extérieure : tout doit être absorbé, subordonné ou dénoncé comme menace. L’arcalité totalitaire ne justifie donc pas seulement un ordre. Elle requalifie le réel dans son ensemble. Elle distribue les existences selon leur degré d’assimilabilité, autorise la mobilisation des conformes, la rectification des douteux, l’exclusion des hérétiques et l’élimination des inassimilables.</w:t>
      </w:r>
    </w:p>
    <w:p>
      <w:pPr>
        <w:pStyle w:val="BodyText"/>
        <w:rPr/>
      </w:pPr>
      <w:r>
        <w:rPr/>
        <w:t>La cratialité totalitaire ne doit pas être pensée comme concentration verticale de la puissance. Certes, le chef, le parti et la ligne idéologique forment le sommet visible du régime. Mais son effectivité dépend de sa capacité à descendre dans les épaisseurs ordinaires du social. Le pouvoir ne règne pas seulement depuis un centre ; il se relaie dans une multiplicité de dispositifs, d’organisations, de bureaux, de surveillances, de voisinages et de procédures.</w:t>
      </w:r>
    </w:p>
    <w:p>
      <w:pPr>
        <w:pStyle w:val="BodyText"/>
        <w:rPr/>
      </w:pPr>
      <w:r>
        <w:rPr/>
        <w:t xml:space="preserve">Le premier ressort en est le monopole intégral du politique. </w:t>
      </w:r>
      <w:r>
        <w:rPr/>
        <w:t>Ceci</w:t>
      </w:r>
      <w:r>
        <w:rPr/>
        <w:t xml:space="preserve"> signifie qu’aucune institution ne peut plus prétendre exister selon sa logique propre, au-delà de la domination partisane elle-même. Syndicats, universités, presse, professions, organisations de jeunesse, associations, milieux artistiques, espaces religieux, voisinage même : tout doit devenir relais, organe ou capillarité du centre. L’autonomie n’est pas seulement interdite ; les conditions de sa reformation doivent être dissoutes.</w:t>
      </w:r>
    </w:p>
    <w:p>
      <w:pPr>
        <w:pStyle w:val="BodyText"/>
        <w:rPr/>
      </w:pPr>
      <w:r>
        <w:rPr/>
        <w:t>À cette absorption s’ajoute une bureaucratie de qualification. Dossiers, autorisations, affectations, enquêtes, catégories administratives, listes de surveillance, contrôles de déplacement ou de travail enregistrent les existences en les traduisant dans un langage traitable par le régime. L’individu devient combinaison de signes, cas à suivre, profil à classer, trajectoire à orienter.</w:t>
      </w:r>
    </w:p>
    <w:p>
      <w:pPr>
        <w:pStyle w:val="BodyText"/>
        <w:rPr/>
      </w:pPr>
      <w:r>
        <w:rPr/>
        <w:t>De là naît un climat spécifique : non seulement la peur, mais le soupçon. L’écart n’a pas besoin d’être pleinement manifeste pour devenir objet d’attention. Il se laisse pressentir dans une hésitation, une réserve, une absence d’enthousiasme, un mot mal placé, une fidélité tiède. Le régime ne surveille pas seulement ce qui se fait ; il traque ce qui pourrait ne pas s’aligner. Chacun peut devenir observateur, relais ou évaluateur d’autrui.</w:t>
      </w:r>
    </w:p>
    <w:p>
      <w:pPr>
        <w:pStyle w:val="BodyText"/>
        <w:rPr/>
      </w:pPr>
      <w:r>
        <w:rPr/>
        <w:t>L’archicration totalitaire se distingue alors par une inversion majeure. Au lieu d’ouvrir des scènes où l’ordre pourrait être exposé, discuté ou repris, elle fabrique des scènes où la conformité est produite, répétée et vérifiée. Défilés, serments, chants, cérémonies, séances d’autocritique, organisations de jeunesse, gestes codifiés de fidélité, rythmes collectifs : autant de dispositifs où la norme devient expérience. Le corps est requis, la voix sollicitée, l’émotion encadrée.</w:t>
      </w:r>
    </w:p>
    <w:p>
      <w:pPr>
        <w:pStyle w:val="BodyText"/>
        <w:rPr/>
      </w:pPr>
      <w:r>
        <w:rPr/>
        <w:t>Le langage y joue un rôle central. Il diffuse une doctrine en redécoupant le dicible. Les mots disponibles, les oppositions légitimes, les désignations de l’ennemi, les formules de fidélité et les tours obligés de l’adhésion resserrent l’espace dans lequel un écart pourrait se former. Quand la langue se raidit, le doute ne devient pas seulement dangereux ; il devient plus difficile à articuler.</w:t>
      </w:r>
    </w:p>
    <w:p>
      <w:pPr>
        <w:pStyle w:val="BodyText"/>
        <w:rPr/>
      </w:pPr>
      <w:r>
        <w:rPr/>
        <w:t>L’esthétique intervient avec la même force. Architecture monumentale, mise en scène du chef, symboles omniprésents, stylisation des corps, chorégraphie des foules : tout cela travaille à saturer le champ perceptif. L’image ne décore pas le régime. Elle hiérarchise le visible. Elle apprend à reconnaître les corps légitimes, les gestes conformes, les existences honorables, et celles qui doivent être dégradées, exclues ou effacées.</w:t>
      </w:r>
    </w:p>
    <w:p>
      <w:pPr>
        <w:pStyle w:val="BodyText"/>
        <w:rPr/>
      </w:pPr>
      <w:r>
        <w:rPr/>
        <w:t>Cette emprise gagne les jeunes générations. L’enfance n’est pas laissée en réserve. L’école, l’organisation de jeunesse, le récit héroïque, l’exercice collectif, la discipline du groupe et les modèles imposés forment un continuum. L’enjeu excède l’enseignement d’une doctrine à de futurs adultes : il s’agit de produire précocement des réflexes d’appartenance, des habitudes affectives, un rapport déjà orienté au vrai, à l’ennemi, au sacrifice et au collectif.</w:t>
      </w:r>
    </w:p>
    <w:p>
      <w:pPr>
        <w:pStyle w:val="BodyText"/>
        <w:rPr/>
      </w:pPr>
      <w:r>
        <w:rPr/>
        <w:t>Le même geste vaut pour les productions autonomes de sens. Écrivains, savants, artistes, enseignants ou responsables religieux ne sont tolérés qu’à condition d’entrer dans le rôle d’exégètes ou de serviteurs du dogme. Ce que le totalitarisme ne supporte pas tient moins à la dissidence déclarée qu’à la persistance de lieux où pourrait se former une autre scène d’interprétation.</w:t>
      </w:r>
    </w:p>
    <w:p>
      <w:pPr>
        <w:pStyle w:val="BodyText"/>
        <w:rPr/>
      </w:pPr>
      <w:r>
        <w:rPr/>
        <w:t>Cette fabrication du conforme exige aussi des infrastructures. Camp, presse unique, radio contrôlée, édition surveillée, école recodée, travail investi comme critère moral et politique, procédures de classement, dispositifs de surveillance : autant de formes qui rendent une autre vie matériellement plus improbable. Le camp, à l’extrême, matérialise le pouvoir de retrancher des êtres du monde commun tout en les maintenant sous prise.</w:t>
      </w:r>
    </w:p>
    <w:p>
      <w:pPr>
        <w:pStyle w:val="BodyText"/>
        <w:rPr/>
      </w:pPr>
      <w:r>
        <w:rPr/>
        <w:t>Se dessine alors une fermeture progressive des bords. Presse indépendante, mémoire non officielle, autonomie pédagogique, espace religieux libre, sociabilité non encadrée, temporalité privée, langage non aligné : tout ce qui pourrait soutenir une normativité autre devient difficile à habiter. Le monde se rétracte autour du régime.</w:t>
      </w:r>
    </w:p>
    <w:p>
      <w:pPr>
        <w:pStyle w:val="BodyText"/>
        <w:rPr/>
      </w:pPr>
      <w:r>
        <w:rPr/>
        <w:t>Cette clôture n’atteint pourtant jamais son achèvement absolu. Il demeure des restes, des réserves, des opacités : silence non capturé, ironie clandestine, texte caché, fidélité souterraine, mémoire familiale, refus sans déclaration. Ces formes ne suffisent pas toujours à renverser le système. Elles en marquent cependant la limite. Le totalitarisme pousse jusqu’à son seuil extrême la logique de clôture archicratique, mais rencontre dans l’épaisseur du vivant quelque chose qu’il ne parvient jamais à refermer entièrement.</w:t>
      </w:r>
    </w:p>
    <w:p>
      <w:pPr>
        <w:pStyle w:val="BodyText"/>
        <w:rPr/>
      </w:pPr>
      <w:r>
        <w:rPr/>
        <w:t>Au terme de ce parcours, le totalitarisme apparaît moins comme une forme extrême de domination que comme une épreuve-limite pour toute pensée de l’archicratie. Il porte à son point de tension maximal la volonté de faire tenir ensemble, sans reste, un fondement exclusif, une puissance omniprésente, une production intensive du conforme et une réduction systématique des extérieurs possibles.</w:t>
      </w:r>
    </w:p>
    <w:p>
      <w:pPr>
        <w:pStyle w:val="BodyText"/>
        <w:rPr/>
      </w:pPr>
      <w:r>
        <w:rPr/>
        <w:t>Il ne peut donc être rabattu ni sur la dictature, ni sur l’autoritarisme, ni sur l’hypertrophie administrative. Il constitue une forme spécifique de saturation archicratique. L’arcalité y devient absolue. La cratialité s’y diffuse jusqu’aux interstices ordinaires de l’existence. L’archicration y est retournée en production de scènes conformes, où l’ordre ne comparaît plus devant ceux qu’il affecte, mais contraint ceux-ci à comparaître devant lui.</w:t>
      </w:r>
    </w:p>
    <w:p>
      <w:pPr>
        <w:pStyle w:val="BodyText"/>
        <w:rPr/>
      </w:pPr>
      <w:r>
        <w:rPr/>
        <w:t>Ce point est décisif. Dans une archicration habitable, la scène permet d’exposer, de discuter, de contester ou de reprendre la régulation. Dans le totalitarisme, la scène est inversée : elle ne sert plus à éprouver l’ordre, mais à éprouver les sujets selon les critères de l’ordre. Elle ne rend pas la régulation contestable ; elle rend les existences comparables à la norme, puis qualifiables, corrigeables, mobilisables ou éliminables.</w:t>
      </w:r>
    </w:p>
    <w:p>
      <w:pPr>
        <w:pStyle w:val="BodyText"/>
        <w:rPr/>
      </w:pPr>
      <w:r>
        <w:rPr/>
        <w:t>C’est pourquoi le totalitarisme représente l’une des formes les plus extrêmes de la régulation moderne. Il pousse jusqu’à un degré inédit la volonté de configurer l’existence dans toutes ses dimensions. Mais il révèle aussi, négativement, la limite de toute prétention à refermer le monde sur un seul principe. Sa violence la plus propre tient à cette poursuite d’une coïncidence impossible entre l’ordre prescrit et le vivant.</w:t>
      </w:r>
    </w:p>
    <w:p>
      <w:pPr>
        <w:pStyle w:val="BodyText"/>
        <w:rPr/>
      </w:pPr>
      <w:r>
        <w:rPr/>
        <w:t>Là où le fondement s’absolutise, où la puissance se dissémine sans reste, où la norme prétend devenir le milieu intégral de l’existence, la co-viabilité cesse d’être tenue du monde commun. Elle devient entreprise de réduction du vivant.</w:t>
      </w:r>
    </w:p>
    <w:p>
      <w:pPr>
        <w:pStyle w:val="BodyText"/>
        <w:rPr/>
      </w:pPr>
      <w:r>
        <w:rPr/>
        <w:t>La sous-section suivante ne devra pas raconter une sortie linéaire hors du totalitaire, ni suggérer qu’après la mobilisation intégrale viendrait le temps paisible d’une régulation sans violence. Elle examinera plutôt d’autres figures du XXe siècle, dans lesquelles la norme change de texture, de rythme et de vecteurs, sans renoncer à organiser les conduites, distribuer les places et gouverner les existences.</w:t>
      </w:r>
    </w:p>
    <w:p>
      <w:pPr>
        <w:pStyle w:val="Heading3"/>
        <w:numPr>
          <w:ilvl w:val="2"/>
          <w:numId w:val="2"/>
        </w:numPr>
        <w:rPr/>
      </w:pPr>
      <w:r>
        <w:rPr/>
        <w:t>2.3.6 — Démocraties providentielles, bureaucraties sociales et gouvernement des trajectoires de vie</w:t>
      </w:r>
    </w:p>
    <w:p>
      <w:pPr>
        <w:pStyle w:val="BodyText"/>
        <w:rPr/>
      </w:pPr>
      <w:r>
        <w:rPr/>
        <w:t>Les régimes démocratiques providentiels issus de l’après-guerre ne doivent pas être lus comme une restauration de la normalité politique après la séquence totalitaire. Une telle lecture manquerait l’essentiel. Ce qui s’installe alors relève d’une recomposition de la régulation intensive dans un régime moins spectaculaire, moins idéologique, moins frontalement terrorisant, et pourtant profondément structurant.</w:t>
      </w:r>
    </w:p>
    <w:p>
      <w:pPr>
        <w:pStyle w:val="BodyText"/>
        <w:rPr/>
      </w:pPr>
      <w:r>
        <w:rPr/>
        <w:t>Avec la démocratie libérale-sociale, le pouvoir ne s’affirme plus prioritairement sous la figure d’un centre exigeant l’adhésion totale. Il se déploie à travers une organisation plus diffuse des existences, fondée sur la protection, l’assurance, la prévoyance, la prise en charge et la gestion des risques. L’ordre ne se présente plus d’abord comme mobilisation ; il s’offre comme cadre de sécurité. C’est cette conversion de la contrainte visible en co-viabilité assurantielle qui donne au régime sa tonalité propre.</w:t>
      </w:r>
    </w:p>
    <w:p>
      <w:pPr>
        <w:pStyle w:val="BodyText"/>
        <w:rPr/>
      </w:pPr>
      <w:r>
        <w:rPr/>
        <w:t>Il faut donc éviter deux contresens. Le premier consisterait à voir dans l’État-providence démocratique une pure rupture émancipatrice avec les régimes disciplinaires ou totalitaires. Le second serait de n’y lire qu’une version adoucie de ces derniers. Ni sortie linéaire hors de la domination, ni continuité brute sous visage modéré : le régime démocratique providentiel constitue une configuration archicratique spécifique.</w:t>
      </w:r>
    </w:p>
    <w:p>
      <w:pPr>
        <w:pStyle w:val="BodyText"/>
        <w:rPr/>
      </w:pPr>
      <w:r>
        <w:rPr/>
        <w:t>Sa singularité tient à l’articulation d’une arcalité fondée sur la souveraineté populaire, les droits fondamentaux, les droits sociaux et la mémoire des catastrophes du XXe siècle ; d’une cratialité bureaucratique, statistique et assurantielle appliquée aux trajectoires de vie ; et d’une archicration pluralisée, dispersée dans des arènes de discussion, de contentieux, de négociation, de recours et de contestation.</w:t>
      </w:r>
    </w:p>
    <w:p>
      <w:pPr>
        <w:pStyle w:val="BodyText"/>
        <w:rPr/>
      </w:pPr>
      <w:r>
        <w:rPr/>
        <w:t>Cette configuration occupe une place stratégique dans notre parcours. En amont, les régimes disciplinaires et totalitaires avaient porté à un haut degré de visibilité l’objectivation des conduites, la verticalité du commandement ou la saturation idéologique. En aval, les régimes cybernétiques et numériques déplaceront encore la norme vers l’adaptation continue, la captation comportementale et l’automatisation partielle des régulations. La démocratie providentielle ne se confond avec aucun de ces deux pôles. Elle forme un moment propre, dans lequel la régulation devient plus enveloppante que spectaculaire, plus procédurale que liturgique, plus statistique que mobilisatrice.</w:t>
      </w:r>
    </w:p>
    <w:p>
      <w:pPr>
        <w:pStyle w:val="BodyText"/>
        <w:rPr/>
      </w:pPr>
      <w:r>
        <w:rPr/>
        <w:t>L’hypothèse directrice est la suivante : les démocraties providentielles transforment l’obéissance directe en inclusion conditionnelle. Les individus y sont moins sommés de déclarer leur fidélité à une vérité d’État que pris dans des dispositifs qui les protègent tout en les classant, les accompagnent tout en les évaluant, les assurent tout en les rendant comparables. Le citoyen devient aussi ayant droit, usager, cotisant, bénéficiaire, patient, allocataire, demandeur, assuré. Ces statuts ouvrent des prises en charge réelles, mais sous conditions de résidence, d’activité, d’éligibilité, de preuve ou de conformité procédurale.</w:t>
      </w:r>
    </w:p>
    <w:p>
      <w:pPr>
        <w:pStyle w:val="BodyText"/>
        <w:rPr/>
      </w:pPr>
      <w:r>
        <w:rPr/>
        <w:t>L’arcalité propre au régime démocratique providentiel ne se concentre ni dans une source transcendante unique, ni dans une incarnation charismatique du pouvoir. Elle procède d’un montage composite : souveraineté populaire, droits fondamentaux, droits sociaux, mémoire politique des catastrophes, promesse institutionnelle de protection. Le fondement ne se donne plus comme origine indiscutable ; il se présente comme principe politiquement institué, juridiquement formulé et historiquement justifié.</w:t>
      </w:r>
    </w:p>
    <w:p>
      <w:pPr>
        <w:pStyle w:val="BodyText"/>
        <w:rPr/>
      </w:pPr>
      <w:r>
        <w:rPr/>
        <w:t>Cette arcalité tient d’abord à la souveraineté populaire, telle qu’elle s’inscrit dans la constitution, la représentation, la périodicité électorale et la reconnaissance du citoyen comme sujet de droit. Mais l’un des traits décisifs de l’après-guerre est d’avoir incorporé à cette scène fondatrice une promesse de sécurité sociale. Travail, maladie, vieillesse, enfance, accident, chômage ou handicap cessent d’apparaître comme de simples aléas privés. Ils deviennent des objets de prise en charge collective.</w:t>
      </w:r>
    </w:p>
    <w:p>
      <w:pPr>
        <w:pStyle w:val="BodyText"/>
        <w:rPr/>
      </w:pPr>
      <w:r>
        <w:rPr/>
        <w:t>L’État social ne s’ajoute donc pas extérieurement à la démocratie représentative. Il en transforme la texture arcale. La légitimité politique se fonde désormais sur la participation à la cité et sur la capacité collective à limiter l’exposition brute aux risques de l’existence. Constitutions, préambules, grandes lois sociales, ordonnances fondatrices, chartes de droits, missions du service public rendent opposable une promesse : la société ne laisse pas ses membres seuls devant certaines vulnérabilités majeures.</w:t>
      </w:r>
    </w:p>
    <w:p>
      <w:pPr>
        <w:pStyle w:val="BodyText"/>
        <w:rPr/>
      </w:pPr>
      <w:r>
        <w:rPr/>
        <w:t>Cette scène de légitimation est inséparable d’une mémoire historique. Les démocraties providentielles se construisent sur le refus des effondrements antérieurs : misère de masse, désaffiliation, guerre, fascisme, destruction industrielle des vies. Les droits sociaux acquièrent une centralité parce qu’ils apparaissent comme l’un des moyens d’empêcher le retour de formes de décomposition sociale et politique. Une société livrée à certaines vulnérabilités massives se rend elle-même politiquement friable.</w:t>
      </w:r>
    </w:p>
    <w:p>
      <w:pPr>
        <w:pStyle w:val="BodyText"/>
        <w:rPr/>
      </w:pPr>
      <w:r>
        <w:rPr/>
        <w:t>À cette couche juridique, sociale et historique s’ajoute progressivement une couche gestionnaire. L’arcalité ne se contente plus d’énoncer des principes ; elle tend à se reformuler dans une langue de l’équilibre, de la rationalisation, de la soutenabilité et de l’optimisation. Indicateurs, taux de couverture, seuils de pauvreté, courbes démographiques, projections de dépenses, statistiques sanitaires ou éducatives deviennent des modalités de preuve. Ils servent à montrer qu’un arbitrage est nécessaire, qu’une réforme est soutenable, qu’une politique est équilibrée, qu’une prestation est trop coûteuse ou insuffisamment ciblée.</w:t>
      </w:r>
    </w:p>
    <w:p>
      <w:pPr>
        <w:pStyle w:val="BodyText"/>
        <w:rPr/>
      </w:pPr>
      <w:r>
        <w:rPr/>
        <w:t>Il faut toutefois tenir la différence avec les régimes cybernétiques ultérieurs. Ce calcul demeure encore largement analogique. Il repose sur des agrégats, des séries, des projections, des instruments statistiques interprétés et disputés dans des arènes humaines. Il ne produit pas encore une modulation automatisée en temps réel. Le régime providentiel gouverne déjà par le calcul, mais par un calcul médié par des institutions, des délibérations, des procédures de réforme et des controverses publiques encore politiquement saisissables.</w:t>
      </w:r>
    </w:p>
    <w:p>
      <w:pPr>
        <w:pStyle w:val="BodyText"/>
        <w:rPr/>
      </w:pPr>
      <w:r>
        <w:rPr/>
        <w:t>La cratialité propre au régime démocratique providentiel ne vise ni l’obéissance exaltée, ni la mobilisation totale. Elle opère par gestion différenciée des conditions d’existence. Le pouvoir s’exerce sur des populations distribuées en catégories, en trajectoires, en profils de risque, en situations d’activité, de dépendance ou de vulnérabilité. Il ne commande pas d’abord ; il classe, ouvre des droits, suspend certains accès, ajuste des prestations, organise des parcours, anticipe des charges, répartit des protections.</w:t>
      </w:r>
    </w:p>
    <w:p>
      <w:pPr>
        <w:pStyle w:val="BodyText"/>
        <w:rPr/>
      </w:pPr>
      <w:r>
        <w:rPr/>
        <w:t>Cette cratialité s’appuie sur la statistique publique. Les taux d’emploi, courbes démographiques, données sanitaires, seuils de pauvreté, cartes d’équipement ou indicateurs de besoins ne décrivent pas seulement la société ; ils la rendent gouvernable. Ils localisent des problèmes, hiérarchisent des urgences, légitiment des arbitrages. La population devient lisible sous forme de séries, et cette lisibilité prépare l’intervention.</w:t>
      </w:r>
    </w:p>
    <w:p>
      <w:pPr>
        <w:pStyle w:val="BodyText"/>
        <w:rPr/>
      </w:pPr>
      <w:r>
        <w:rPr/>
        <w:t>Mais cette prise macroscopique ne suffit pas. Le régime providentiel gouverne aussi par bureaucratie procédurale. Dossiers, formulaires, attestations, justificatifs, rapports, examens, validations, recours : tout un appareillage transforme les situations vécues en cas instruits. Être malade, chômeur, parent isolé, retraité, étudiant, demandeur d’aide ou locataire en difficulté, c’est éprouver une situation tout en entrant dans un langage de procédures où cette situation devra être prouvée, codée, évaluée, reconnue ou refusée.</w:t>
      </w:r>
    </w:p>
    <w:p>
      <w:pPr>
        <w:pStyle w:val="BodyText"/>
        <w:rPr/>
      </w:pPr>
      <w:r>
        <w:rPr/>
        <w:t>Le ressort décisif est l’éligibilité conditionnelle. La protection n’est jamais pure gratuité. Elle suppose des seuils, des critères, des statuts, des temporalités, des preuves d’appartenance ou de conformité. L’accès aux ressources dépend de l’entrée dans certaines catégories recevables : résidence stable, cotisation antérieure, situation familiale reconnue, incapacité certifiée, comportement administratif adéquat, disponibilité déclarée, dossier complet. Le régime inclut, mais en qualifiant. Il ouvre, mais sous conditions. Il protège, mais en distinguant.</w:t>
      </w:r>
    </w:p>
    <w:p>
      <w:pPr>
        <w:pStyle w:val="BodyText"/>
        <w:rPr/>
      </w:pPr>
      <w:r>
        <w:rPr/>
        <w:t>Cette cratialité n’a pas besoin de se présenter comme violence manifeste pour produire des effets profonds. Elle pèse sur les comportements ordinaires en distribuant les conditions d’accès aux protections. Travailler, se déclarer, se soigner dans les cadres requis, scolariser ses enfants, résider de manière stabilisée, répondre aux convocations, fournir les pièces demandées : autant de conduites qui relèvent d’une multiplicité d’obligations diffuses dont dépend l’effectivité des droits, plutôt que d’un commandement spectaculaire.</w:t>
      </w:r>
    </w:p>
    <w:p>
      <w:pPr>
        <w:pStyle w:val="BodyText"/>
        <w:rPr/>
      </w:pPr>
      <w:r>
        <w:rPr/>
        <w:t>La cratialité démocratique providentielle peut donc être définie comme une puissance de traduction administrative de la vie sociale. Elle transforme des existences en catégories, des besoins en critères, des vulnérabilités en droits potentiels, des trajectoires en dossiers, des écarts en anomalies traitables. Sa contrainte prend la forme d’un encadrement procédural des conditions de protection.</w:t>
      </w:r>
    </w:p>
    <w:p>
      <w:pPr>
        <w:pStyle w:val="BodyText"/>
        <w:rPr/>
      </w:pPr>
      <w:r>
        <w:rPr/>
        <w:t>L’archicration démocratique providentielle ne se réduit ni à l’invocation abstraite de la souveraineté populaire, ni à la fiction d’une transparence délibérative. Sa spécificité tient à l’existence d’un archipel d’arènes où les normes d’inclusion, les critères d’éligibilité, les formes de la protection et les seuils de l’acceptable peuvent être remis en débat, réinterprétés, corrigés ou déplacés.</w:t>
      </w:r>
    </w:p>
    <w:p>
      <w:pPr>
        <w:pStyle w:val="BodyText"/>
        <w:rPr/>
      </w:pPr>
      <w:r>
        <w:rPr/>
        <w:t>Ces scènes sont diverses : assemblées délibératives, négociations sociales, juridictions, mobilisations collectives, controverses publiques, associations d’usagers, syndicats, autorités administratives, médiations, commissions de recours. Elles ne forment pas un espace homogène. Elles constituent un ensemble discontinu de lieux où la norme s’applique tout en pouvant être soumise à contestation, justification ou révision.</w:t>
      </w:r>
    </w:p>
    <w:p>
      <w:pPr>
        <w:pStyle w:val="BodyText"/>
        <w:rPr/>
      </w:pPr>
      <w:r>
        <w:rPr/>
        <w:t>Dans sa forme la plus forte, cette archicration permet une véritable mise à l’épreuve du régime par ses destinataires. Une loi sociale peut être amendée, une décision administrative contestée, un critère d’accès rediscuté, une catégorie disqualifiante renversée, une politique hospitalière ou scolaire réévaluée sous l’effet du conflit, de la jurisprudence, de la mobilisation ou de l’argumentation publique. La démocratie providentielle dépend de sa capacité à laisser subsister des scènes où les normes de co-viabilité puissent être disputées sans que le conflit soit traité comme menace extérieure.</w:t>
      </w:r>
    </w:p>
    <w:p>
      <w:pPr>
        <w:pStyle w:val="BodyText"/>
        <w:rPr/>
      </w:pPr>
      <w:r>
        <w:rPr/>
        <w:t>Mais cette ouverture n’est jamais pure. Les scènes qui permettent l’exposition critique de la norme peuvent aussi fonctionner comme dispositifs de canalisation. Le débat parlementaire peut ritualiser des arbitrages déjà verrouillés ; la concertation sociale peut encadrer le dissensus dans des formats qui en limitent la portée ; le recours juridictionnel peut individualiser des problèmes structurels ; la consultation publique peut donner l’image d’une participation sans déplacer les cadres de décision ; la controverse médiatique peut simplifier ce qu’elle prétend exposer.</w:t>
      </w:r>
    </w:p>
    <w:p>
      <w:pPr>
        <w:pStyle w:val="BodyText"/>
        <w:rPr/>
      </w:pPr>
      <w:r>
        <w:rPr/>
        <w:t>Il faut donc éviter deux illusions. La première idéaliserait ces arènes comme lieux naturels d’autocorrection démocratique. La seconde n’y verrait qu’un théâtre d’impuissance. L’archicration démocratique providentielle est ambivalente : elle ouvre réellement des possibilités de contestation, de révision et de requalification, mais dans des cadres procéduraux qui tendent aussi à filtrer, temporiser, absorber et reformater la conflictualité.</w:t>
      </w:r>
    </w:p>
    <w:p>
      <w:pPr>
        <w:pStyle w:val="BodyText"/>
        <w:rPr/>
      </w:pPr>
      <w:r>
        <w:rPr/>
        <w:t>Cette tension est constitutive. La démocratie providentielle doit protéger l’ordre de la co-viabilité tout en maintenant des scènes où cet ordre puisse être discuté au nom de ses propres principes. Toute fermeture excessive de ces arènes affaiblit sa légitimité ; toute ouverture illimitée met à l’épreuve sa capacité de tenue. L’archicration y apparaît comme un opérateur de réflexivité fragile.</w:t>
      </w:r>
    </w:p>
    <w:p>
      <w:pPr>
        <w:pStyle w:val="BodyText"/>
        <w:rPr/>
      </w:pPr>
      <w:r>
        <w:rPr/>
        <w:t>Cette structure devient particulièrement lisible dans les opérateurs concrets du régime. L’école, par exemple, est portée par une arcalité forte : égalité républicaine, promesse d’émancipation, droit à l’instruction, formation du citoyen. Mais cette promesse passe par une cratialité organisée : programmes, évaluations, orientation, classements, filières, inspections. L’archicration apparaît lorsque cette prétention égalitaire est confrontée à ses effets réels : conseils de classe, conflits d’orientation, mobilisations contre certaines réformes, débats sur l’évaluation ou sur la reproduction des inégalités.</w:t>
      </w:r>
    </w:p>
    <w:p>
      <w:pPr>
        <w:pStyle w:val="BodyText"/>
        <w:rPr/>
      </w:pPr>
      <w:r>
        <w:rPr/>
        <w:t>Le système de santé présente une structure comparable. Son arcalité réside dans la reconnaissance du soin comme bien commun et dans l’idée qu’une société démocratique ne peut abandonner les corps à leur seule solvabilité. Mais cette promesse passe par des chaînes de tri, de priorisation, de codification, de financement et d’organisation. L’archicration s’y loge dans des scènes souvent discrètes : contentieux de prise en charge, comités d’éthique, mobilisations hospitalières, associations de patients, débats sur les seuils d’accès, les files d’attente, les critères de pertinence ou de rationnement.</w:t>
      </w:r>
    </w:p>
    <w:p>
      <w:pPr>
        <w:pStyle w:val="BodyText"/>
        <w:rPr/>
      </w:pPr>
      <w:r>
        <w:rPr/>
        <w:t>Les organismes de protection sociale condensent encore autrement cette logique. Ils rendent effectif le principe de solidarité en traduisant les situations vécues dans des catégories recevables, documentées, vérifiables. Le droit n’y est jamais pure déclaration ; il est reconduit par des opérations de qualification. C’est là qu’apparaît l’archicration locale : commissions de recours, médiations, contestations d’une radiation, rediscussion d’un statut, mise à l’épreuve d’une décision au regard de la promesse du régime.</w:t>
      </w:r>
    </w:p>
    <w:p>
      <w:pPr>
        <w:pStyle w:val="BodyText"/>
        <w:rPr/>
      </w:pPr>
      <w:r>
        <w:rPr/>
        <w:t xml:space="preserve">Le logement donne à cette articulation une matérialité particulièrement nette. Le droit à habiter passe par des critères d’attribution, des listes d’attente, des zonages, des priorités implicites, des choix de relogement, des arbitrages territoriaux. La protection passe par les revenus, les soins ou les prestations, autant que par l’organisation de l’inscription matérielle dans l’espace commun. Mais </w:t>
      </w:r>
      <w:r>
        <w:rPr/>
        <w:t>celle-ci</w:t>
      </w:r>
      <w:r>
        <w:rPr/>
        <w:t xml:space="preserve"> est traversée par des opérations de tri et des scènes de contestation locales où se rediscutent les seuils du recevable.</w:t>
      </w:r>
    </w:p>
    <w:p>
      <w:pPr>
        <w:pStyle w:val="BodyText"/>
        <w:rPr/>
      </w:pPr>
      <w:r>
        <w:rPr/>
        <w:t>À travers ces opérateurs, une même structure apparaît. Le régime démocratique providentiel ne tient ni par la seule proclamation des droits, ni par la seule efficacité administrative. Il tient dans l’écart entre une promesse de protection, les procédures qui la conditionnent et les scènes où cette conditionnalité peut être exposée, discutée ou infléchie.</w:t>
      </w:r>
    </w:p>
    <w:p>
      <w:pPr>
        <w:pStyle w:val="BodyText"/>
        <w:rPr/>
      </w:pPr>
      <w:r>
        <w:rPr/>
        <w:t>Cette structure porte des tensions internes. La première oppose l’universalité proclamée des droits à la différenciation effective des accès. Ce que le droit formule sous le signe de la généralité, la procédure le recompose sous forme de seuils, de statuts, de conditions et de preuves. L’inclusion n’est jamais pure ; elle est médiée, filtrée, graduée. Le régime promet à tous, mais distribue sous conditions.</w:t>
      </w:r>
    </w:p>
    <w:p>
      <w:pPr>
        <w:pStyle w:val="BodyText"/>
        <w:rPr/>
      </w:pPr>
      <w:r>
        <w:rPr/>
        <w:t>Une deuxième tension traverse la relation entre protection et responsabilisation. À mesure que les dispositifs se densifient, les bénéficiaires sont reconduits à des comportements attendus : se déclarer, coopérer, chercher activement, se conformer, prouver sa bonne foi, démontrer sa disponibilité ou sa discipline thérapeutique. La solidarité demeure réelle, mais elle se double d’une épreuve de conformité. Le protégé devient justiciable de sa propre protection.</w:t>
      </w:r>
    </w:p>
    <w:p>
      <w:pPr>
        <w:pStyle w:val="BodyText"/>
        <w:rPr/>
      </w:pPr>
      <w:r>
        <w:rPr/>
        <w:t>Une troisième tension oppose égalité formelle et reproduction des asymétries concrètes. Le régime providentiel corrige, redistribue, amortit ; il ne neutralise jamais entièrement les inégalités de classe, de genre, d’origine, de statut administratif ou de capital scolaire. Ses procédures standardisées, parce qu’elles visent l’universalité abstraite, peuvent aussi reconduire des différences structurelles qu’elles ne savent pas toujours nommer.</w:t>
      </w:r>
    </w:p>
    <w:p>
      <w:pPr>
        <w:pStyle w:val="BodyText"/>
        <w:rPr/>
      </w:pPr>
      <w:r>
        <w:rPr/>
        <w:t>Ces tensions se compliquent d’hybridations externes. L’hybridation marchande est la plus visible : assurances complémentaires, délégations de service, externalisations, critères de rentabilité, sélectivité croissante de certaines protections. La promesse de solidarité subsiste, mais se trouve partiellement relayée par des opérateurs qui introduisent dans la co-viabilité des logiques d’optimisation, de concurrence ou de solvabilité.</w:t>
      </w:r>
    </w:p>
    <w:p>
      <w:pPr>
        <w:pStyle w:val="BodyText"/>
        <w:rPr/>
      </w:pPr>
      <w:r>
        <w:rPr/>
        <w:t>Une autre hybridation est sécuritaire : contrôle renforcé de la fraude, circulation inter-administrative de l’information, soupçon porté sur certains bénéficiaires, glissement de la protection vers la vérification. Le régime providentiel ne devient pas pour autant policier au sens fort ; ses dispositifs peuvent toutefois être infléchis vers des fonctions de tri et de surveillance qui en modifient l’esprit.</w:t>
      </w:r>
    </w:p>
    <w:p>
      <w:pPr>
        <w:pStyle w:val="BodyText"/>
        <w:rPr/>
      </w:pPr>
      <w:r>
        <w:rPr/>
        <w:t>Face à ces tensions, des résistances persistent. Elles ne prennent pas toujours la forme spectaculaire du grand conflit social. Elles surgissent dans des recours, médiations, associations d’usagers, mobilisations sectorielles, syndicats, collectifs de patients, luttes pour le logement, pratiques d’entraide ou de réappropriation. Leur portée excède la protestation. Elles rappellent que l’archicration démocratique ne disparaît pas dès que les procédures se rigidifient ; elle se déplace, se fragilise, se recompose dans des scènes souvent locales, parfois précaires, mais encore capables d’exposer la norme à ses propres promesses.</w:t>
      </w:r>
    </w:p>
    <w:p>
      <w:pPr>
        <w:pStyle w:val="BodyText"/>
        <w:rPr/>
      </w:pPr>
      <w:r>
        <w:rPr/>
        <w:t>Les cas limites du régime en révèlent les bords. Sans-papiers, sans-domicile, travailleurs intermittents de l’informel, jeunes en errance, personnes en suspens administratif ou social occupent les bords de la démocratie providentielle. Ils en manifestent les seuils. Ils montrent ce qu’un régime fondé sur la protection conditionnelle laisse en reste lorsqu’aucune catégorie ne parvient à stabiliser l’accès aux droits.</w:t>
      </w:r>
    </w:p>
    <w:p>
      <w:pPr>
        <w:pStyle w:val="BodyText"/>
        <w:rPr/>
      </w:pPr>
      <w:r>
        <w:rPr/>
        <w:t>Dans les dernières décennies du XXe siècle, une inflexion s’esquisse. La montée des indicateurs de performance, des tableaux de bord et des logiques d’évaluation prépare un déplacement de grande portée. Nous ne sommes pas encore dans le régime cybernétique proprement dit : la décision demeure médiée par des institutions, les données restent agrégées, les temporalités de traitement relativement lentes, la norme continue de passer par des procédures humaines identifiables. Mais une translation commence : la légitimité se déplace peu à peu depuis la protection et la délibération vers la performance, le pilotage et l’ajustement.</w:t>
      </w:r>
    </w:p>
    <w:p>
      <w:pPr>
        <w:pStyle w:val="BodyText"/>
        <w:rPr/>
      </w:pPr>
      <w:r>
        <w:rPr/>
        <w:t>Le régime démocratique providentiel apparaît ainsi comme une configuration archicratique de haute densité. Il ne se réduit ni à un compromis transitoire, ni à une version modérée de la domination moderne. Sa singularité tient à l’articulation d’une arcalité fondée sur les droits sociaux et la souveraineté populaire, d’une cratialité assurantielle et bureaucratique appliquée aux trajectoires de vie, et d’une archicration pluralisée, dispersée dans un archipel d’arènes où les normes peuvent encore être exposées, disputées, parfois infléchies.</w:t>
      </w:r>
    </w:p>
    <w:p>
      <w:pPr>
        <w:pStyle w:val="BodyText"/>
        <w:rPr/>
      </w:pPr>
      <w:r>
        <w:rPr/>
        <w:t>Mais cette force est aussi sa fragilité. Plus le régime cherche à stabiliser la co-viabilité par la procédure, la catégorisation et l’équilibre gestionnaire, plus il s’expose à l’épuisement de ses médiations et à la remise en question de ses formes de légitimité.</w:t>
      </w:r>
    </w:p>
    <w:p>
      <w:pPr>
        <w:pStyle w:val="BodyText"/>
        <w:rPr/>
      </w:pPr>
      <w:r>
        <w:rPr/>
        <w:t>La sous-section suivante examinera une transformation plus profonde qu’un prolongement technique de ce régime : le passage à des formes de régulation où la norme cesse de se présenter d’abord comme droit opposable, procédure contestable ou arbitrage visible, pour se dissoudre davantage dans des infrastructures de calcul, de captation et d’ajustement continu.</w:t>
      </w:r>
    </w:p>
    <w:p>
      <w:pPr>
        <w:pStyle w:val="Heading3"/>
        <w:numPr>
          <w:ilvl w:val="2"/>
          <w:numId w:val="2"/>
        </w:numPr>
        <w:rPr/>
      </w:pPr>
      <w:r>
        <w:rPr/>
        <w:t>2.3.7 — Régulations cybernétiques, pilotage par indicateurs et ajustement continu</w:t>
      </w:r>
    </w:p>
    <w:p>
      <w:pPr>
        <w:pStyle w:val="BodyText"/>
        <w:rPr>
          <w:b w:val="false"/>
          <w:bCs w:val="false"/>
        </w:rPr>
      </w:pPr>
      <w:r>
        <w:rPr>
          <w:b w:val="false"/>
          <w:bCs w:val="false"/>
        </w:rPr>
        <w:t>Les régulations cybernétiques, adaptatives et numériques ne constituent ni un prolongement technique des bureaucraties modernes, ni une radicalisation linéaire des dispositifs disciplinaires. Elles introduisent une transformation plus profonde : un déplacement du principe même de régulation. Là où les configurations précédentes organisaient l’ordre à partir de normes explicites, de procédures identifiables ou de structures institutionnelles relativement localisables, le régime cybernético-calculatoire opère par modélisation des comportements, anticipation probabiliste et ajustement continu des environnements d’action.</w:t>
      </w:r>
    </w:p>
    <w:p>
      <w:pPr>
        <w:pStyle w:val="BodyText"/>
        <w:rPr>
          <w:b w:val="false"/>
          <w:bCs w:val="false"/>
        </w:rPr>
      </w:pPr>
      <w:r>
        <w:rPr>
          <w:b w:val="false"/>
          <w:bCs w:val="false"/>
        </w:rPr>
        <w:t>Il faut rappeler d’emblée son statut. Le cybernético-calculatoire ne constitue pas un treizième méta-régime archéogénétique de même rang que les formes précédemment distinguées. Sa singularité est contemporaine, techniquement située et historiquement circonscrite. Il doit être compris comme une configuration-limite : une recomposition de logiques épistémiques, techno-logistiques, bureaucratiques, marchandes et politiques sous condition computationnelle.</w:t>
      </w:r>
    </w:p>
    <w:p>
      <w:pPr>
        <w:pStyle w:val="BodyText"/>
        <w:rPr/>
      </w:pPr>
      <w:r>
        <w:rPr>
          <w:b w:val="false"/>
          <w:bCs w:val="false"/>
        </w:rPr>
        <w:t xml:space="preserve">La régulation ne s’y abolit pas ; elle change de texture. Elle procède moins par interdiction, prescription ou décision visible que par préformation des possibles. </w:t>
      </w:r>
      <w:r>
        <w:rPr/>
        <w:t>Le pouvoir se manifeste désormais par la capacité à capter des données, produire des modèles, calculer des probabilités, orienter des trajectoires et modifier les conditions dans lesquelles certaines conduites deviennent plus probables que d’autres.</w:t>
      </w:r>
    </w:p>
    <w:p>
      <w:pPr>
        <w:pStyle w:val="BodyText"/>
        <w:rPr/>
      </w:pPr>
      <w:r>
        <w:rPr>
          <w:b w:val="false"/>
          <w:bCs w:val="false"/>
        </w:rPr>
        <w:t xml:space="preserve">Ce déplacement engage une mutation épistémique et opératoire. Le savoir régulateur devient computationnel, statistique, corrélatif et prédictif. Corrélations, profils, signaux faibles, scores, indicateurs et boucles de rétroaction tendent à remplacer ou à entourer les catégories normatives explicites. Dans le même mouvement, le pouvoir perd une part de sa localisabilité classique : </w:t>
      </w:r>
      <w:r>
        <w:rPr/>
        <w:t>il prend la forme d’un agencement distribué de dispositifs capables de capter, traiter, classer, anticiper et réorienter les conduites, davantage que celle d’une décision attribuable à une autorité unique.</w:t>
      </w:r>
    </w:p>
    <w:p>
      <w:pPr>
        <w:pStyle w:val="BodyText"/>
        <w:rPr>
          <w:b w:val="false"/>
          <w:bCs w:val="false"/>
        </w:rPr>
      </w:pPr>
      <w:r>
        <w:rPr>
          <w:b w:val="false"/>
          <w:bCs w:val="false"/>
        </w:rPr>
        <w:t>La généalogie de ce déplacement est identifiable. Avec la cybernétique, Norbert Wiener formalise une conception de la régulation fondée sur la rétroaction : l’action est continuellement ajustée à partir des effets qu’elle produit. La régulation ne repose plus seulement sur l’édiction de règles, mais sur la stabilisation dynamique de systèmes par correction continue. Foucault, sur un autre plan, permet de comprendre ce déplacement à travers la gouvernementalité : gouverner consiste moins à ordonner directement qu’à structurer les conditions dans lesquelles les conduites deviennent possibles. Les travaux d’Antoinette Rouvroy et Thomas Berns donneront plus tard une formulation décisive à cette inflexion avec la notion de gouvernementalité algorithmique : la régulation ne passe plus prioritairement par l’interpellation de sujets, mais par le traitement inductif de données massives et l’exploitation de corrélations opératoires.</w:t>
      </w:r>
    </w:p>
    <w:p>
      <w:pPr>
        <w:pStyle w:val="BodyText"/>
        <w:rPr>
          <w:b w:val="false"/>
          <w:bCs w:val="false"/>
        </w:rPr>
      </w:pPr>
      <w:r>
        <w:rPr>
          <w:b w:val="false"/>
          <w:bCs w:val="false"/>
        </w:rPr>
        <w:t>Cette mutation ne doit pourtant pas être comprise comme l’avènement d’un pouvoir immatériel. Le régime cybernético-calculatoire repose sur des infrastructures matérielles denses, énergivores et géopolitiquement situées. Centres de données, réseaux de fibres optiques, câbles sous-marins, points d’interconnexion, processeurs, circuits spécialisés, chaînes logistiques, extraction de métaux et production de composants conditionnent la possibilité même du calcul à grande échelle. L’archicratie numérique ne flotte pas dans un nuage. Elle s’ancre dans une matérialité technique, énergétique et extractive.</w:t>
      </w:r>
    </w:p>
    <w:p>
      <w:pPr>
        <w:pStyle w:val="BodyText"/>
        <w:rPr>
          <w:b w:val="false"/>
          <w:bCs w:val="false"/>
        </w:rPr>
      </w:pPr>
      <w:r>
        <w:rPr>
          <w:b w:val="false"/>
          <w:bCs w:val="false"/>
        </w:rPr>
        <w:t>Cette précision est essentielle. La normativité algorithmique ne se déploie pas comme une couche abstraite ajoutée au monde social. Elle suppose des infrastructures capables de capter, transporter, stocker et traiter l’information. Elle relie les centres de calcul aux zones d’extraction, les plateformes aux réseaux matériels, les espaces de consommation aux territoires de production. Le numérique n’abolit donc pas la matérialité du pouvoir ; il en redistribue les dépendances.</w:t>
      </w:r>
    </w:p>
    <w:p>
      <w:pPr>
        <w:pStyle w:val="BodyText"/>
        <w:rPr>
          <w:b w:val="false"/>
          <w:bCs w:val="false"/>
        </w:rPr>
      </w:pPr>
      <w:r>
        <w:rPr>
          <w:b w:val="false"/>
          <w:bCs w:val="false"/>
        </w:rPr>
        <w:t>La fonction régulatrice propre de cette configuration se déploie dans l’anticipation. Les dispositifs algorithmiques contemporains, qu’il s’agisse d’attribution de crédit, de gestion logistique, de ciblage informationnel, de recommandation culturelle, de modulation attentionnelle ou d’allocation de ressources, n’imposent pas toujours des décisions visibles. Ils organisent des trajectoires. Ils agrègent des données passées, en extraient des régularités statistiques, construisent des profils, puis ajustent les conditions d’action en fonction de futurs probabilisés.</w:t>
      </w:r>
    </w:p>
    <w:p>
      <w:pPr>
        <w:pStyle w:val="BodyText"/>
        <w:rPr/>
      </w:pPr>
      <w:r>
        <w:rPr>
          <w:b w:val="false"/>
          <w:bCs w:val="false"/>
        </w:rPr>
        <w:t xml:space="preserve">La temporalité du pouvoir s’en trouve transformée. Là où la régulation procédait classiquement par décision, application et recours éventuel, elle opère désormais de plus en plus par anticipation et correction continue. Le présent devient un point d’ajustement entre des passés agrégés et des futurs calculés. </w:t>
      </w:r>
      <w:r>
        <w:rPr/>
        <w:t>L’écart tend à être préempté avant même de prendre forme, au lieu d’être seulement sanctionné après coup.</w:t>
      </w:r>
    </w:p>
    <w:p>
      <w:pPr>
        <w:pStyle w:val="BodyText"/>
        <w:rPr>
          <w:b w:val="false"/>
          <w:bCs w:val="false"/>
        </w:rPr>
      </w:pPr>
      <w:r>
        <w:rPr>
          <w:b w:val="false"/>
          <w:bCs w:val="false"/>
        </w:rPr>
        <w:t>Cette logique agit aussi par design comportemental. Une interface, un classement de résultats, une notification, une recommandation, une option rendue plus visible qu’une autre, une friction ajoutée ou retirée ne commandent pas explicitement. Ils orientent. L’individu n’est pas nécessairement contraint ; il est guidé dans un espace de possibles déjà structuré. L’action n’est pas supprimée ; elle est canalisée.</w:t>
      </w:r>
    </w:p>
    <w:p>
      <w:pPr>
        <w:pStyle w:val="BodyText"/>
        <w:rPr>
          <w:b w:val="false"/>
          <w:bCs w:val="false"/>
        </w:rPr>
      </w:pPr>
      <w:r>
        <w:rPr>
          <w:b w:val="false"/>
          <w:bCs w:val="false"/>
        </w:rPr>
        <w:t>L’arcalité de cette configuration ne disparaît donc pas. Elle se loge dans les architectures techniques, les protocoles, les formats de données, les structures d’accès, les paramètres de visibilité, les modèles de classement et les critères d’optimisation. Le fondement ne s’énonce plus toujours comme principe politique ou juridique ; il opère comme condition d’organisation. Ce qui vaut, ce qui apparaît, ce qui circule, ce qui devient accessible ou prioritaire dépend de choix inscrits dans des architectures souvent peu lisibles pour ceux qu’elles affectent.</w:t>
      </w:r>
    </w:p>
    <w:p>
      <w:pPr>
        <w:pStyle w:val="BodyText"/>
        <w:rPr/>
      </w:pPr>
      <w:r>
        <w:rPr>
          <w:b w:val="false"/>
          <w:bCs w:val="false"/>
        </w:rPr>
        <w:t xml:space="preserve">La cratialité, elle aussi, se reconfigure. </w:t>
      </w:r>
      <w:r>
        <w:rPr/>
        <w:t xml:space="preserve">Elle s’exerce moins sous la forme d’un centre de commandement identifiable que dans des plateformes, des infrastructures, des modèles, des bases de données, des systèmes de recommandation, des dispositifs de scoring, des standards techniques, des contrats d’usage, des chaînes d’interopérabilité. </w:t>
      </w:r>
      <w:r>
        <w:rPr>
          <w:b w:val="false"/>
          <w:bCs w:val="false"/>
        </w:rPr>
        <w:t>Cette puissance agit par seuils, filtrages, hiérarchisations implicites, ralentissements, accélérations, exclusions douces ou priorisations invisibles.</w:t>
      </w:r>
    </w:p>
    <w:p>
      <w:pPr>
        <w:pStyle w:val="BodyText"/>
        <w:rPr>
          <w:b w:val="false"/>
          <w:bCs w:val="false"/>
        </w:rPr>
      </w:pPr>
      <w:r>
        <w:rPr>
          <w:b w:val="false"/>
          <w:bCs w:val="false"/>
        </w:rPr>
        <w:t>L’archicration connaît ici sa mutation la plus préoccupante. Dans les formes précédentes, la norme pouvait encore être exposée, discutée ou contestée dans des scènes relativement identifiables : assemblée, tribunal, administration, commission, conflit social, controverse publique. Dans la configuration cybernético-calculatoire, la régulation tend à s’intégrer aux dispositifs eux-mêmes. Elle s’ajuste en continu à partir des données qu’elle capte. L’exposition de la norme se raréfie, tandis que son opérationnalité s’intensifie.</w:t>
      </w:r>
    </w:p>
    <w:p>
      <w:pPr>
        <w:pStyle w:val="BodyText"/>
        <w:rPr>
          <w:b w:val="false"/>
          <w:bCs w:val="false"/>
        </w:rPr>
      </w:pPr>
      <w:r>
        <w:rPr>
          <w:b w:val="false"/>
          <w:bCs w:val="false"/>
        </w:rPr>
        <w:t>Il ne s’agit pas d’une disparition complète de la contestation. Mais celle-ci se déplace. Elle porte moins sur une règle clairement énoncée que sur les conditions de production des modèles, les données mobilisées, les critères de classement, les architectures d’accès, les biais, les effets différenciés, les infrastructures et les asymétries de visibilité. La difficulté tient au fait que l’objet contestable devient moins immédiatement saisissable. Où contester une modulation ? devant qui ? à quel moment ? sur quelle base, lorsque la décision apparaît comme résultat d’un calcul, d’un score, d’un profil ou d’une optimisation ?</w:t>
      </w:r>
    </w:p>
    <w:p>
      <w:pPr>
        <w:pStyle w:val="BodyText"/>
        <w:rPr>
          <w:b w:val="false"/>
          <w:bCs w:val="false"/>
        </w:rPr>
      </w:pPr>
      <w:r>
        <w:rPr>
          <w:b w:val="false"/>
          <w:bCs w:val="false"/>
        </w:rPr>
        <w:t>C’est ici que le cybernético-calculatoire devient une configuration-limite pour l’archicratie. Il ne supprime pas les trois vecteurs fondamentaux ; il en rend la distinction plus incertaine. L’arcalité s’incorpore aux architectures. La cratialité se distribue dans les dispositifs. L’archicration se déplace vers des processus d’anticipation intégrée. Le triangle ne disparaît pas ; il devient moins exposable.</w:t>
      </w:r>
    </w:p>
    <w:p>
      <w:pPr>
        <w:pStyle w:val="BodyText"/>
        <w:rPr>
          <w:b w:val="false"/>
          <w:bCs w:val="false"/>
        </w:rPr>
      </w:pPr>
      <w:r>
        <w:rPr>
          <w:b w:val="false"/>
          <w:bCs w:val="false"/>
        </w:rPr>
        <w:t>Il en résulte une régulation sans souverain visible, mais non sans cohérence ; sans loi toujours formulée, mais non sans effets normatifs ; sans scène évidente, mais non sans opérativité. La co-viabilité n’y est plus soutenue principalement par la loi, la procédure ou la délibération, mais par l’ajustement continu des trajectoires dans des environnements calculés.</w:t>
      </w:r>
    </w:p>
    <w:p>
      <w:pPr>
        <w:pStyle w:val="BodyText"/>
        <w:rPr/>
      </w:pPr>
      <w:r>
        <w:rPr>
          <w:b w:val="false"/>
          <w:bCs w:val="false"/>
        </w:rPr>
        <w:t xml:space="preserve">Cette configuration ne doit pas être confondue avec une pure efficacité technique. Elle produit des tensions majeures : opacité des critères, asymétrie entre ceux qui calculent et ceux qui sont calculés, difficulté d’imputation, privatisation de certaines fonctions régulatrices, dépendance infrastructurelle, captation attentionnelle, segmentation des publics, automatisation partielle des accès, fragilisation des scènes de recours. </w:t>
      </w:r>
      <w:r>
        <w:rPr/>
        <w:t>Le problème tient moins au calcul lui-même qu’à sa capacité de rendre plus difficile l’identification de ce qui fonde, de ce qui opère et de ce qui pourrait être repris.</w:t>
      </w:r>
    </w:p>
    <w:p>
      <w:pPr>
        <w:pStyle w:val="BodyText"/>
        <w:rPr>
          <w:b w:val="false"/>
          <w:bCs w:val="false"/>
        </w:rPr>
      </w:pPr>
      <w:r>
        <w:rPr>
          <w:b w:val="false"/>
          <w:bCs w:val="false"/>
        </w:rPr>
        <w:t>C’est pourquoi cette configuration doit rester, dans ce chapitre, un seuil d’analyse plutôt qu’un développement total. Son examen principal appartiendra aux chapitres consacrés aux révolutions industrielles, aux tensions contemporaines et à la crise de comparution. Ici, elle sert à clore l’historiographie comparée en montrant jusqu’où peut se déplacer la régulation lorsque la norme se dissout dans les infrastructures de calcul, de captation et d’ajustement continu.</w:t>
      </w:r>
    </w:p>
    <w:p>
      <w:pPr>
        <w:pStyle w:val="BodyText"/>
        <w:rPr/>
      </w:pPr>
      <w:r>
        <w:rPr>
          <w:b w:val="false"/>
          <w:bCs w:val="false"/>
        </w:rPr>
        <w:t xml:space="preserve">Le cybernético-calculatoire ne marque donc pas la fin de la régulation. Il marque une transformation de ses formes d’apparition. </w:t>
      </w:r>
      <w:r>
        <w:rPr/>
        <w:t>Ce qui devient décisif, désormais, concerne moins la règle qui gouverne ou l’institution qui décide que la manière dont les conditions mêmes de l’action sont préconfigurées, modulées et corrigées avant de pouvoir être discutées.</w:t>
      </w:r>
    </w:p>
    <w:p>
      <w:pPr>
        <w:pStyle w:val="BodyText"/>
        <w:rPr>
          <w:b w:val="false"/>
          <w:bCs w:val="false"/>
        </w:rPr>
      </w:pPr>
      <w:r>
        <w:rPr>
          <w:b w:val="false"/>
          <w:bCs w:val="false"/>
        </w:rPr>
        <w:t>Ainsi s’éclaire la portée de cette configuration-limite : elle repose à nouveaux frais la question centrale de l’archicratie. Une régulation peut-elle demeurer politiquement habitable lorsque ce qui la fonde s’inscrit dans des architectures techniques, lorsque ce qui l’opère se distribue dans des dispositifs calculatoires, et lorsque ce qui devrait l’exposer à l’épreuve devient difficile à localiser, à comprendre et à reprendre ?</w:t>
      </w:r>
    </w:p>
    <w:p>
      <w:pPr>
        <w:pStyle w:val="Heading2"/>
        <w:numPr>
          <w:ilvl w:val="1"/>
          <w:numId w:val="2"/>
        </w:numPr>
        <w:rPr/>
      </w:pPr>
      <w:r>
        <w:rPr>
          <w:b/>
          <w:bCs/>
        </w:rPr>
        <w:t xml:space="preserve">Conclusion du chapitre 2 — </w:t>
      </w:r>
      <w:r>
        <w:rPr/>
        <w:t>Archéologie des régimes régulateurs</w:t>
      </w:r>
    </w:p>
    <w:p>
      <w:pPr>
        <w:pStyle w:val="BodyText"/>
        <w:rPr/>
      </w:pPr>
      <w:r>
        <w:rPr/>
        <w:t>Ce deuxième chapitre n’avait pas pour fonction d’ajouter une galerie historique au paradigme archicratique, ni d’illustrer après coup une grille déjà constituée. Sa tâche était plus décisive : éprouver, sur la longue durée et à travers des configurations profondément hétérogènes, la portée effective de l’hypothèse formulée au chapitre précédent.</w:t>
      </w:r>
    </w:p>
    <w:p>
      <w:pPr>
        <w:pStyle w:val="BodyText"/>
        <w:rPr/>
      </w:pPr>
      <w:r>
        <w:rPr/>
        <w:t>Il s’agissait de savoir si la triade arcalité, cratialité, archicration permettait effectivement de décrire, de discriminer et de comparer les manières diverses dont les sociétés humaines ont cherché à rendre la co-viabilité possible. Si cette hypothèse échouait au contact de l’histoire, elle ne serait qu’une élégance conceptuelle. Si elle résistait à l’épreuve des matériaux, des écarts de civilisation, des bascules d’époque et des différences de texture régulatrice, elle pouvait devenir un opérateur d’intelligibilité historique.</w:t>
      </w:r>
    </w:p>
    <w:p>
      <w:pPr>
        <w:pStyle w:val="BodyText"/>
        <w:rPr/>
      </w:pPr>
      <w:r>
        <w:rPr/>
        <w:t>Cette résistance ne peut toutefois être affirmée qu’à une condition : ne jamais confondre survivance de la grille et gain de connaissance. Le chapitre n’autorise donc aucun triomphalisme paradigmatique. Il établit plus sobrement que la triade archicratique demeure pertinente chaque fois qu’elle permet de distinguer, dans des montages historiques hétérogènes, ce qui rend un ordre recevable, ce qui le fait agir, et ce qui le rend transformable ou non. Là où cette distinction ne produit aucun gain réel de lisibilité, le paradigme doit se retirer.</w:t>
      </w:r>
    </w:p>
    <w:p>
      <w:pPr>
        <w:pStyle w:val="BodyText"/>
        <w:rPr/>
      </w:pPr>
      <w:r>
        <w:rPr/>
        <w:t>Ce gain s’est pourtant bien dégagé. Le chapitre 2 a confirmé que l’archicratie n’est ni un vocabulaire de surplomb, ni une métaphore commode, ni une abstraction plaquée sur des mondes disparates. Elle constitue une grammaire comparative capable de rendre lisible une multiplicité de régimes de co-viabilité sans les réduire à une histoire linéaire du pouvoir.</w:t>
      </w:r>
    </w:p>
    <w:p>
      <w:pPr>
        <w:pStyle w:val="BodyText"/>
        <w:rPr/>
      </w:pPr>
      <w:r>
        <w:rPr/>
        <w:t>Le refus de l’évolutionnisme, de l’étato-centrisme et de l’économicisme a été décisif. Le chapitre n’a pas raconté une marche imaginaire du rite vers la loi, de la coutume vers l’État ou de la croyance vers le calcul. Il a fait apparaître une pluralité de montages archicratiques : historiquement situés, morphologiquement distincts, souvent composites, parfois concurrents, toujours révélateurs d’une même exigence anthropologico-politique, celle de faire tenir ensemble des existences exposées à la tension.</w:t>
      </w:r>
    </w:p>
    <w:p>
      <w:pPr>
        <w:pStyle w:val="BodyText"/>
        <w:rPr/>
      </w:pPr>
      <w:r>
        <w:rPr/>
        <w:t>La première leçon du chapitre est donc nette : la régulation précède le politique institué. Il ne s’agit pas de supposer, avant toute histoire, une essence régulatrice pure. Les formes explicites du pouvoir — État, souveraineté, constitution, administration, marché, gouvernement — s’adossent toujours à des pratiques plus anciennes de co-viabilité. Bien avant que les sociétés ne se pensent en termes de représentation, de droit ou d’appareil politique, elles avaient déjà élaboré des dispositifs symboliques, rituels, spatiaux, techniques, scripturaux, narratifs, savants ou agonistiques capables de différer la violence, d’orienter les conduites, de distribuer les places et de rendre certaines tensions supportables.</w:t>
      </w:r>
    </w:p>
    <w:p>
      <w:pPr>
        <w:pStyle w:val="BodyText"/>
        <w:rPr/>
      </w:pPr>
      <w:r>
        <w:rPr/>
        <w:t>Le politique institué ne surgit donc jamais sur un sol nu. Il se sédimente sur des architectures régulatrices préalables, dont il réorganise la visibilité, la portée et les modes d’activation sans jamais les abolir entièrement.</w:t>
      </w:r>
    </w:p>
    <w:p>
      <w:pPr>
        <w:pStyle w:val="BodyText"/>
        <w:rPr/>
      </w:pPr>
      <w:r>
        <w:rPr/>
        <w:t>La seconde leçon tient à la typologie. Les douze méta-régimes distingués dans ce chapitre, prolongés par le plan différentiel-hybride, n’ont pas pour fonction de classer les sociétés selon des stades de développement. Ils configurent un espace de possibilités morphologiques. Chaque méta-régime y apparaît comme une manière singulière de composer fondement, puissance et scène d’épreuve : mémoire vive, médiation sacrale, agencement techno-logistique, inscription scripturo-normative, alignement cosmologique, parole révélée, récit historiographique, validation épistémique, forme sensible, norme publique, équivalence marchande, épreuve guerrière.</w:t>
      </w:r>
    </w:p>
    <w:p>
      <w:pPr>
        <w:pStyle w:val="BodyText"/>
        <w:rPr/>
      </w:pPr>
      <w:r>
        <w:rPr/>
        <w:t>À chaque fois, la variation porte sur la manière même dont un monde commun se rend fondable, opératoire et contestable.</w:t>
      </w:r>
    </w:p>
    <w:p>
      <w:pPr>
        <w:pStyle w:val="BodyText"/>
        <w:rPr/>
      </w:pPr>
      <w:r>
        <w:rPr/>
        <w:t>Mais la réalité historique ne se laisse jamais enfermer dans ces formes pures. Une cité peut mobiliser plusieurs régimes à la fois ; un empire peut tenir par autre chose que la seule centralisation ; une démocratie peut reconduire des mécanismes de tri, de conditionnalité ou de captation ; une configuration numérique peut réguler sans se déclarer comme forme politique autonome. Les méta-régimes ne sont donc pas des cases. Ils sont des matrices de lecture, utiles à condition d’être réinscrites dans les compositions concrètes où elles se mêlent, se relaient, se heurtent ou se déplacent.</w:t>
      </w:r>
    </w:p>
    <w:p>
      <w:pPr>
        <w:pStyle w:val="BodyText"/>
        <w:rPr/>
      </w:pPr>
      <w:r>
        <w:rPr/>
        <w:t>La troisième leçon concerne l’archicration elle-même. Toute régulation n’est pas archicration. Il peut exister de la régulation dans l’opacité, dans l’inertie d’un agencement, dans la coordination logistique, dans l’intériorisation des contraintes, dans la violence silencieuse d’un tri ou dans la diffusion d’une norme incorporée. L’archicration commence seulement lorsque se forme une scène d’épreuve différée, identifiable, opposable, dans laquelle la relation entre ce qui fonde et ce qui opère peut être exposée, contestée, reprise ou requalifiée.</w:t>
      </w:r>
    </w:p>
    <w:p>
      <w:pPr>
        <w:pStyle w:val="BodyText"/>
        <w:rPr/>
      </w:pPr>
      <w:r>
        <w:rPr/>
        <w:t>Ce point est décisif. Il empêche de dissoudre l’archicration dans une synonymie vague avec la régulation, la gouvernance ou l’organisation sociale. Le chapitre a montré que certaines sociétés régulent beaucoup sans archicration forte, tandis que d’autres instituent des scènes où les fondements et les puissances peuvent, au moins partiellement, comparaître.</w:t>
      </w:r>
    </w:p>
    <w:p>
      <w:pPr>
        <w:pStyle w:val="BodyText"/>
        <w:rPr/>
      </w:pPr>
      <w:r>
        <w:rPr/>
        <w:t>C’est ici qu’apparaît la portée heuristique de la figure d’homo archicraticus. Elle ne désigne aucune essence anthropologique intemporelle. Elle fonctionne comme opérateur de lecture. L’humain n’apparaît plus d’abord comme sujet de souveraineté, de représentation, de décision ou d’intérêt. Il apparaît comme vivant pris dans des dispositifs de co-viabilité, affecté par des scènes où se négocient les conditions de sa participation au monde commun.</w:t>
      </w:r>
    </w:p>
    <w:p>
      <w:pPr>
        <w:pStyle w:val="BodyText"/>
        <w:rPr/>
      </w:pPr>
      <w:r>
        <w:rPr/>
        <w:t>Initiés, fidèles, scribes, guerriers, citoyens, justiciables, travailleurs, bénéficiaires, usagers ou profils calculés : tous ne relèvent évidemment pas du même monde. Mais tous sont pris dans des montages qui les rendent plus ou moins aptes à tenir, supporter, habiter ou contester leur ordre. L’originalité du paradigme archicratique est là : sa question première porte sur la manière dont une société organise la tenue effective de la coexistence sous tension, avant de porter sur le détenteur du pouvoir ou sur son titulaire légitime.</w:t>
      </w:r>
    </w:p>
    <w:p>
      <w:pPr>
        <w:pStyle w:val="BodyText"/>
        <w:rPr/>
      </w:pPr>
      <w:r>
        <w:rPr/>
        <w:t>La section historique a permis d’éprouver cette hypothèse. L’Antiquité y est apparue moins comme berceau abstrait du politique que comme champ de différenciation entre scène civique, continuité juridique, ordre rituel et textualité normative. Les mondes médiévaux ont montré la puissance des médiations théologiques, féodales, savantes, coutumières ou orales. Les monarchies renaissantes ont rendu lisible la captation progressive de ces médiations par une souveraineté centralisatrice. Les régimes disciplinaires, industriels et coloniaux ont objectivé la norme dans des milieux, des institutions et des hiérarchies asymétriques. Les totalitarismes ont révélé la possibilité extrême d’une saturation archicratique, où la scène se retourne en production du conforme. Les démocraties providentielles ont déplacé la régulation vers la protection conditionnelle, la bureaucratie sociale et l’archipel des recours. Enfin, la configuration cybernético-calculatoire a montré une limite contemporaine : la norme tend à se dissoudre dans l’anticipation, le profilage, la modulation et l’infrastructure.</w:t>
      </w:r>
    </w:p>
    <w:p>
      <w:pPr>
        <w:pStyle w:val="BodyText"/>
        <w:rPr/>
      </w:pPr>
      <w:r>
        <w:rPr/>
        <w:t>Deux conséquences doivent être tenues ensemble. La première est que l’histoire régulatrice n’est pas une marche vers plus de rationalité, de transparence ou de liberté. Elle est stratifiée, bifurquante, traversée de survivances, d’hybridations, de réactivations et de bascules de scène. La seconde est que le paradigme archicratique permet néanmoins d’en lire les logiques profondes sans tomber dans le relativisme descriptif. Les régimes diffèrent par la manière dont ils rendent possible, ou empêchent, la comparution réglée de leurs propres fondements et de leurs propres puissances.</w:t>
      </w:r>
    </w:p>
    <w:p>
      <w:pPr>
        <w:pStyle w:val="BodyText"/>
        <w:rPr/>
      </w:pPr>
      <w:r>
        <w:rPr/>
        <w:t>C’est pourquoi l’archicratie excède la typologie. Elle fournit une mesure immanente de la tenue ou de l’oblitération des scènes régulatrices. Là où fondement, puissance et épreuve demeurent suffisamment distinguables, articulés et exposables, une régulation peut encore être habitée, contestée, corrigée. Là où cette articulation se ferme, se brouille ou se dissout dans l’opacité des opérations, il peut subsister de l’administration, de la croyance, de la prédiction, de la circulation ou de la discipline ; mais la co-viabilité se fragilise.</w:t>
      </w:r>
    </w:p>
    <w:p>
      <w:pPr>
        <w:pStyle w:val="BodyText"/>
        <w:rPr/>
      </w:pPr>
      <w:r>
        <w:rPr/>
        <w:t>Le chapitre 2 stabilise ainsi le paradigme sans le clore. Il donne une cartographie des grandes formes de régulation, une méthode comparative non téléologique, une clarification du concept d’archicration et une hypothèse anthropologico-politique ferme : l’humain apparaît d’abord comme un être de co-viabilité problématique, avant d’apparaître comme un être de souveraineté.</w:t>
      </w:r>
    </w:p>
    <w:p>
      <w:pPr>
        <w:pStyle w:val="BodyText"/>
        <w:spacing w:before="0" w:after="140"/>
        <w:rPr/>
      </w:pPr>
      <w:r>
        <w:rPr/>
        <w:t>La tâche qui s’ouvre désormais consiste à comprendre comment ces régimes se tendent, se heurtent, se décomposent ou se recomposent dans les mondes historiques et contemporains. Après l’archéogenèse vient la critique ; après la cartographie des formes, l’examen de leurs tensions internes, de leurs seuils de rupture et de leurs devenirs.</w:t>
      </w:r>
    </w:p>
    <w:sectPr>
      <w:type w:val="nextPage"/>
      <w:pgSz w:w="11906" w:h="16838"/>
      <w:pgMar w:left="1134" w:right="1134" w:gutter="0" w:header="0" w:top="1134"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OpenSymbol">
    <w:altName w:val="Arial Unicode MS"/>
    <w:charset w:val="01" w:characterSet="utf-8"/>
    <w:family w:val="roman"/>
    <w:pitch w:val="variable"/>
  </w:font>
  <w:font w:name="Liberation Mono">
    <w:altName w:val="Courier New"/>
    <w:charset w:val="01" w:characterSet="utf-8"/>
    <w:family w:val="roman"/>
    <w:pitch w:val="variable"/>
  </w:font>
  <w:font w:name="Liberation Sans">
    <w:altName w:val="Arial"/>
    <w:charset w:val="01" w:characterSet="utf-8"/>
    <w:family w:val="swiss"/>
    <w:pitch w:val="variable"/>
  </w:font>
  <w:font w:name="Symbol">
    <w:charset w:val="02"/>
    <w:family w:val="auto"/>
    <w:pitch w:val="default"/>
  </w:font>
  <w:font w:name="OpenSymbol">
    <w:altName w:val="Arial Unicode MS"/>
    <w:charset w:val="01"/>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2">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3">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OpenSymbol" w:hAnsi="OpenSymbol" w:cs="OpenSymbol" w:hint="default"/>
      </w:rPr>
    </w:lvl>
    <w:lvl w:ilvl="2">
      <w:start w:val="1"/>
      <w:numFmt w:val="bullet"/>
      <w:lvlText w:val="▪"/>
      <w:lvlJc w:val="start"/>
      <w:pPr>
        <w:tabs>
          <w:tab w:val="num" w:pos="1440"/>
        </w:tabs>
        <w:ind w:start="1440" w:hanging="360"/>
      </w:pPr>
      <w:rPr>
        <w:rFonts w:ascii="OpenSymbol" w:hAnsi="OpenSymbol" w:cs="OpenSymbol" w:hint="default"/>
      </w:rPr>
    </w:lvl>
    <w:lvl w:ilvl="3">
      <w:start w:val="1"/>
      <w:numFmt w:val="bullet"/>
      <w:lvlText w:val=""/>
      <w:lvlJc w:val="start"/>
      <w:pPr>
        <w:tabs>
          <w:tab w:val="num" w:pos="1800"/>
        </w:tabs>
        <w:ind w:start="1800" w:hanging="360"/>
      </w:pPr>
      <w:rPr>
        <w:rFonts w:ascii="Symbol" w:hAnsi="Symbol" w:cs="Symbol" w:hint="default"/>
      </w:rPr>
    </w:lvl>
    <w:lvl w:ilvl="4">
      <w:start w:val="1"/>
      <w:numFmt w:val="bullet"/>
      <w:lvlText w:val="◦"/>
      <w:lvlJc w:val="start"/>
      <w:pPr>
        <w:tabs>
          <w:tab w:val="num" w:pos="2160"/>
        </w:tabs>
        <w:ind w:start="2160" w:hanging="360"/>
      </w:pPr>
      <w:rPr>
        <w:rFonts w:ascii="OpenSymbol" w:hAnsi="OpenSymbol" w:cs="OpenSymbol" w:hint="default"/>
      </w:rPr>
    </w:lvl>
    <w:lvl w:ilvl="5">
      <w:start w:val="1"/>
      <w:numFmt w:val="bullet"/>
      <w:lvlText w:val="▪"/>
      <w:lvlJc w:val="start"/>
      <w:pPr>
        <w:tabs>
          <w:tab w:val="num" w:pos="2520"/>
        </w:tabs>
        <w:ind w:start="2520" w:hanging="360"/>
      </w:pPr>
      <w:rPr>
        <w:rFonts w:ascii="OpenSymbol" w:hAnsi="OpenSymbol" w:cs="OpenSymbol" w:hint="default"/>
      </w:rPr>
    </w:lvl>
    <w:lvl w:ilvl="6">
      <w:start w:val="1"/>
      <w:numFmt w:val="bullet"/>
      <w:lvlText w:val=""/>
      <w:lvlJc w:val="start"/>
      <w:pPr>
        <w:tabs>
          <w:tab w:val="num" w:pos="2880"/>
        </w:tabs>
        <w:ind w:start="2880" w:hanging="360"/>
      </w:pPr>
      <w:rPr>
        <w:rFonts w:ascii="Symbol" w:hAnsi="Symbol" w:cs="Symbol" w:hint="default"/>
      </w:rPr>
    </w:lvl>
    <w:lvl w:ilvl="7">
      <w:start w:val="1"/>
      <w:numFmt w:val="bullet"/>
      <w:lvlText w:val="◦"/>
      <w:lvlJc w:val="start"/>
      <w:pPr>
        <w:tabs>
          <w:tab w:val="num" w:pos="3240"/>
        </w:tabs>
        <w:ind w:start="3240" w:hanging="360"/>
      </w:pPr>
      <w:rPr>
        <w:rFonts w:ascii="OpenSymbol" w:hAnsi="OpenSymbol" w:cs="OpenSymbol" w:hint="default"/>
      </w:rPr>
    </w:lvl>
    <w:lvl w:ilvl="8">
      <w:start w:val="1"/>
      <w:numFmt w:val="bullet"/>
      <w:lvlText w:val="▪"/>
      <w:lvlJc w:val="start"/>
      <w:pPr>
        <w:tabs>
          <w:tab w:val="num" w:pos="3600"/>
        </w:tabs>
        <w:ind w:start="3600" w:hanging="360"/>
      </w:pPr>
      <w:rPr>
        <w:rFonts w:ascii="OpenSymbol" w:hAnsi="OpenSymbol" w:cs="OpenSymbol" w:hint="default"/>
      </w:rPr>
    </w:lvl>
  </w:abstractNum>
  <w:abstractNum w:abstractNumId="4">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val="bestFit" w:percent="183"/>
  <w:embedSystemFonts/>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ongti SC" w:cs="Arial Unicode MS"/>
        <w:kern w:val="2"/>
        <w:sz w:val="24"/>
        <w:szCs w:val="24"/>
        <w:lang w:val="fr-FR" w:eastAsia="zh-CN" w:bidi="hi-IN"/>
      </w:rPr>
    </w:rPrDefault>
    <w:pPrDefault>
      <w:pPr>
        <w:suppressAutoHyphens w:val="true"/>
      </w:pPr>
    </w:pPrDefault>
  </w:docDefaults>
  <w:style w:type="paragraph" w:styleId="Normal">
    <w:name w:val="Normal"/>
    <w:qFormat/>
    <w:pPr>
      <w:widowControl/>
      <w:suppressAutoHyphens w:val="true"/>
      <w:bidi w:val="0"/>
      <w:spacing w:before="0" w:after="0"/>
      <w:jc w:val="start"/>
    </w:pPr>
    <w:rPr>
      <w:rFonts w:ascii="Liberation Serif" w:hAnsi="Liberation Serif" w:eastAsia="Songti SC" w:cs="Arial Unicode MS"/>
      <w:color w:val="auto"/>
      <w:kern w:val="2"/>
      <w:sz w:val="24"/>
      <w:szCs w:val="24"/>
      <w:lang w:val="fr-FR" w:eastAsia="zh-CN" w:bidi="hi-IN"/>
    </w:rPr>
  </w:style>
  <w:style w:type="paragraph" w:styleId="Heading1">
    <w:name w:val="heading 1"/>
    <w:basedOn w:val="Titreuser"/>
    <w:next w:val="BodyText"/>
    <w:qFormat/>
    <w:pPr>
      <w:numPr>
        <w:ilvl w:val="0"/>
        <w:numId w:val="2"/>
      </w:numPr>
      <w:spacing w:before="240" w:after="120"/>
      <w:outlineLvl w:val="0"/>
    </w:pPr>
    <w:rPr>
      <w:rFonts w:ascii="Liberation Serif" w:hAnsi="Liberation Serif" w:eastAsia="Songti SC" w:cs="Arial Unicode MS"/>
      <w:b/>
      <w:bCs/>
      <w:i w:val="false"/>
      <w:sz w:val="44"/>
      <w:szCs w:val="48"/>
    </w:rPr>
  </w:style>
  <w:style w:type="paragraph" w:styleId="Heading2">
    <w:name w:val="heading 2"/>
    <w:basedOn w:val="Titreuser"/>
    <w:next w:val="BodyText"/>
    <w:qFormat/>
    <w:pPr>
      <w:numPr>
        <w:ilvl w:val="1"/>
        <w:numId w:val="2"/>
      </w:numPr>
      <w:spacing w:before="200" w:after="120"/>
      <w:outlineLvl w:val="1"/>
    </w:pPr>
    <w:rPr>
      <w:rFonts w:ascii="Liberation Serif" w:hAnsi="Liberation Serif" w:eastAsia="Songti SC" w:cs="Arial Unicode MS"/>
      <w:b/>
      <w:bCs/>
      <w:sz w:val="40"/>
      <w:szCs w:val="36"/>
    </w:rPr>
  </w:style>
  <w:style w:type="paragraph" w:styleId="Heading3">
    <w:name w:val="heading 3"/>
    <w:basedOn w:val="Titreuser"/>
    <w:next w:val="BodyText"/>
    <w:qFormat/>
    <w:pPr>
      <w:numPr>
        <w:ilvl w:val="2"/>
        <w:numId w:val="2"/>
      </w:numPr>
      <w:spacing w:before="140" w:after="120"/>
      <w:outlineLvl w:val="2"/>
    </w:pPr>
    <w:rPr>
      <w:rFonts w:ascii="Liberation Serif" w:hAnsi="Liberation Serif" w:eastAsia="Songti SC" w:cs="Arial Unicode MS"/>
      <w:b/>
      <w:bCs/>
      <w:sz w:val="36"/>
      <w:szCs w:val="28"/>
    </w:rPr>
  </w:style>
  <w:style w:type="paragraph" w:styleId="Heading4">
    <w:name w:val="heading 4"/>
    <w:basedOn w:val="Titreuser"/>
    <w:next w:val="BodyText"/>
    <w:qFormat/>
    <w:pPr>
      <w:numPr>
        <w:ilvl w:val="3"/>
        <w:numId w:val="2"/>
      </w:numPr>
      <w:spacing w:lineRule="auto" w:line="276" w:before="0" w:after="140"/>
      <w:outlineLvl w:val="3"/>
    </w:pPr>
    <w:rPr>
      <w:rFonts w:ascii="Liberation Serif" w:hAnsi="Liberation Serif" w:eastAsia="Songti SC" w:cs="Arial Unicode MS"/>
      <w:b/>
      <w:bCs/>
      <w:sz w:val="32"/>
      <w:szCs w:val="24"/>
    </w:rPr>
  </w:style>
  <w:style w:type="paragraph" w:styleId="Heading5">
    <w:name w:val="heading 5"/>
    <w:basedOn w:val="Titre"/>
    <w:next w:val="BodyText"/>
    <w:qFormat/>
    <w:pPr>
      <w:numPr>
        <w:ilvl w:val="4"/>
        <w:numId w:val="1"/>
      </w:numPr>
      <w:spacing w:before="120" w:after="60"/>
      <w:outlineLvl w:val="4"/>
    </w:pPr>
    <w:rPr>
      <w:b/>
      <w:bCs/>
      <w:sz w:val="24"/>
      <w:szCs w:val="24"/>
    </w:rPr>
  </w:style>
  <w:style w:type="paragraph" w:styleId="Heading6">
    <w:name w:val="heading 6"/>
    <w:basedOn w:val="Titre"/>
    <w:next w:val="BodyText"/>
    <w:qFormat/>
    <w:pPr>
      <w:numPr>
        <w:ilvl w:val="5"/>
        <w:numId w:val="1"/>
      </w:numPr>
      <w:spacing w:before="60" w:after="60"/>
      <w:outlineLvl w:val="5"/>
    </w:pPr>
    <w:rPr>
      <w:b/>
      <w:bCs/>
      <w:i/>
      <w:iCs/>
      <w:sz w:val="24"/>
      <w:szCs w:val="24"/>
    </w:rPr>
  </w:style>
  <w:style w:type="character" w:styleId="Strong">
    <w:name w:val="Strong"/>
    <w:qFormat/>
    <w:rPr>
      <w:b/>
      <w:bCs/>
    </w:rPr>
  </w:style>
  <w:style w:type="character" w:styleId="Emphasis">
    <w:name w:val="Emphasis"/>
    <w:qFormat/>
    <w:rPr>
      <w:i/>
      <w:iCs/>
    </w:rPr>
  </w:style>
  <w:style w:type="character" w:styleId="Caractresdenumrotationuser">
    <w:name w:val="Caractères de numérotation (user)"/>
    <w:qFormat/>
    <w:rPr/>
  </w:style>
  <w:style w:type="character" w:styleId="Pucesuser">
    <w:name w:val="Puces (user)"/>
    <w:qFormat/>
    <w:rPr>
      <w:rFonts w:ascii="OpenSymbol" w:hAnsi="OpenSymbol" w:eastAsia="OpenSymbol" w:cs="OpenSymbol"/>
    </w:rPr>
  </w:style>
  <w:style w:type="character" w:styleId="Caractresdenumrotation">
    <w:name w:val="Caractères de numérotation"/>
    <w:qFormat/>
    <w:rPr/>
  </w:style>
  <w:style w:type="character" w:styleId="Puces">
    <w:name w:val="Puces"/>
    <w:qFormat/>
    <w:rPr>
      <w:rFonts w:ascii="OpenSymbol" w:hAnsi="OpenSymbol" w:eastAsia="OpenSymbol" w:cs="OpenSymbol"/>
    </w:rPr>
  </w:style>
  <w:style w:type="character" w:styleId="Textesource">
    <w:name w:val="Texte source"/>
    <w:qFormat/>
    <w:rPr>
      <w:rFonts w:ascii="Liberation Mono" w:hAnsi="Liberation Mono" w:eastAsia="Liberation Mono" w:cs="Liberation Mono"/>
    </w:rPr>
  </w:style>
  <w:style w:type="character" w:styleId="Hyperlink">
    <w:name w:val="Hyperlink"/>
    <w:rPr>
      <w:color w:val="000080"/>
      <w:u w:val="single"/>
    </w:rPr>
  </w:style>
  <w:style w:type="character" w:styleId="Sautdindex">
    <w:name w:val="Saut d'index"/>
    <w:qFormat/>
    <w:rPr/>
  </w:style>
  <w:style w:type="character" w:styleId="Sautdindexuser">
    <w:name w:val="Saut d'index (user)"/>
    <w:qFormat/>
    <w:rPr/>
  </w:style>
  <w:style w:type="character" w:styleId="KeywordTok" w:customStyle="1">
    <w:name w:val="KeywordTok"/>
    <w:qFormat/>
    <w:rPr>
      <w:b/>
      <w:color w:val="007020"/>
    </w:rPr>
  </w:style>
  <w:style w:type="character" w:styleId="DataTypeTok" w:customStyle="1">
    <w:name w:val="DataTypeTok"/>
    <w:qFormat/>
    <w:rPr>
      <w:color w:val="902000"/>
    </w:rPr>
  </w:style>
  <w:style w:type="character" w:styleId="DecValTok" w:customStyle="1">
    <w:name w:val="DecValTok"/>
    <w:qFormat/>
    <w:rPr>
      <w:color w:val="40A070"/>
    </w:rPr>
  </w:style>
  <w:style w:type="character" w:styleId="BaseNTok" w:customStyle="1">
    <w:name w:val="BaseNTok"/>
    <w:qFormat/>
    <w:rPr>
      <w:color w:val="40A070"/>
    </w:rPr>
  </w:style>
  <w:style w:type="character" w:styleId="FloatTok" w:customStyle="1">
    <w:name w:val="FloatTok"/>
    <w:qFormat/>
    <w:rPr>
      <w:color w:val="40A070"/>
    </w:rPr>
  </w:style>
  <w:style w:type="character" w:styleId="ConstantTok" w:customStyle="1">
    <w:name w:val="ConstantTok"/>
    <w:qFormat/>
    <w:rPr>
      <w:color w:val="880000"/>
    </w:rPr>
  </w:style>
  <w:style w:type="character" w:styleId="CharTok" w:customStyle="1">
    <w:name w:val="CharTok"/>
    <w:qFormat/>
    <w:rPr>
      <w:color w:val="4070A0"/>
    </w:rPr>
  </w:style>
  <w:style w:type="character" w:styleId="SpecialCharTok" w:customStyle="1">
    <w:name w:val="SpecialCharTok"/>
    <w:qFormat/>
    <w:rPr>
      <w:color w:val="4070A0"/>
    </w:rPr>
  </w:style>
  <w:style w:type="character" w:styleId="StringTok" w:customStyle="1">
    <w:name w:val="StringTok"/>
    <w:qFormat/>
    <w:rPr>
      <w:color w:val="4070A0"/>
    </w:rPr>
  </w:style>
  <w:style w:type="character" w:styleId="VerbatimStringTok" w:customStyle="1">
    <w:name w:val="VerbatimStringTok"/>
    <w:qFormat/>
    <w:rPr>
      <w:color w:val="4070A0"/>
    </w:rPr>
  </w:style>
  <w:style w:type="character" w:styleId="SpecialStringTok" w:customStyle="1">
    <w:name w:val="SpecialStringTok"/>
    <w:qFormat/>
    <w:rPr>
      <w:color w:val="BB6688"/>
    </w:rPr>
  </w:style>
  <w:style w:type="character" w:styleId="ImportTok" w:customStyle="1">
    <w:name w:val="ImportTok"/>
    <w:qFormat/>
    <w:rPr>
      <w:b/>
      <w:color w:val="008000"/>
    </w:rPr>
  </w:style>
  <w:style w:type="character" w:styleId="CommentTok" w:customStyle="1">
    <w:name w:val="CommentTok"/>
    <w:qFormat/>
    <w:rPr>
      <w:i/>
      <w:color w:val="60A0B0"/>
    </w:rPr>
  </w:style>
  <w:style w:type="character" w:styleId="DocumentationTok" w:customStyle="1">
    <w:name w:val="DocumentationTok"/>
    <w:qFormat/>
    <w:rPr>
      <w:i/>
      <w:color w:val="BA2121"/>
    </w:rPr>
  </w:style>
  <w:style w:type="character" w:styleId="AnnotationTok" w:customStyle="1">
    <w:name w:val="AnnotationTok"/>
    <w:qFormat/>
    <w:rPr>
      <w:b/>
      <w:i/>
      <w:color w:val="60A0B0"/>
    </w:rPr>
  </w:style>
  <w:style w:type="character" w:styleId="CommentVarTok" w:customStyle="1">
    <w:name w:val="CommentVarTok"/>
    <w:qFormat/>
    <w:rPr>
      <w:b/>
      <w:i/>
      <w:color w:val="60A0B0"/>
    </w:rPr>
  </w:style>
  <w:style w:type="character" w:styleId="OtherTok" w:customStyle="1">
    <w:name w:val="OtherTok"/>
    <w:qFormat/>
    <w:rPr>
      <w:color w:val="007020"/>
    </w:rPr>
  </w:style>
  <w:style w:type="character" w:styleId="FunctionTok" w:customStyle="1">
    <w:name w:val="FunctionTok"/>
    <w:qFormat/>
    <w:rPr>
      <w:color w:val="06287E"/>
    </w:rPr>
  </w:style>
  <w:style w:type="character" w:styleId="VariableTok" w:customStyle="1">
    <w:name w:val="VariableTok"/>
    <w:qFormat/>
    <w:rPr>
      <w:color w:val="19177C"/>
    </w:rPr>
  </w:style>
  <w:style w:type="character" w:styleId="ControlFlowTok" w:customStyle="1">
    <w:name w:val="ControlFlowTok"/>
    <w:qFormat/>
    <w:rPr>
      <w:b/>
      <w:color w:val="007020"/>
    </w:rPr>
  </w:style>
  <w:style w:type="character" w:styleId="OperatorTok" w:customStyle="1">
    <w:name w:val="OperatorTok"/>
    <w:qFormat/>
    <w:rPr>
      <w:color w:val="666666"/>
    </w:rPr>
  </w:style>
  <w:style w:type="character" w:styleId="BuiltInTok" w:customStyle="1">
    <w:name w:val="BuiltInTok"/>
    <w:qFormat/>
    <w:rPr>
      <w:color w:val="008000"/>
    </w:rPr>
  </w:style>
  <w:style w:type="character" w:styleId="ExtensionTok" w:customStyle="1">
    <w:name w:val="ExtensionTok"/>
    <w:qFormat/>
    <w:rPr/>
  </w:style>
  <w:style w:type="character" w:styleId="PreprocessorTok" w:customStyle="1">
    <w:name w:val="PreprocessorTok"/>
    <w:qFormat/>
    <w:rPr>
      <w:color w:val="BC7A00"/>
    </w:rPr>
  </w:style>
  <w:style w:type="character" w:styleId="AttributeTok" w:customStyle="1">
    <w:name w:val="AttributeTok"/>
    <w:qFormat/>
    <w:rPr>
      <w:color w:val="7D9029"/>
    </w:rPr>
  </w:style>
  <w:style w:type="character" w:styleId="RegionMarkerTok" w:customStyle="1">
    <w:name w:val="RegionMarkerTok"/>
    <w:qFormat/>
    <w:rPr/>
  </w:style>
  <w:style w:type="character" w:styleId="InformationTok" w:customStyle="1">
    <w:name w:val="InformationTok"/>
    <w:qFormat/>
    <w:rPr>
      <w:b/>
      <w:i/>
      <w:color w:val="60A0B0"/>
    </w:rPr>
  </w:style>
  <w:style w:type="character" w:styleId="WarningTok" w:customStyle="1">
    <w:name w:val="WarningTok"/>
    <w:qFormat/>
    <w:rPr>
      <w:b/>
      <w:i/>
      <w:color w:val="60A0B0"/>
    </w:rPr>
  </w:style>
  <w:style w:type="character" w:styleId="AlertTok" w:customStyle="1">
    <w:name w:val="AlertTok"/>
    <w:qFormat/>
    <w:rPr>
      <w:b/>
      <w:color w:val="FF0000"/>
    </w:rPr>
  </w:style>
  <w:style w:type="character" w:styleId="ErrorTok" w:customStyle="1">
    <w:name w:val="ErrorTok"/>
    <w:qFormat/>
    <w:rPr>
      <w:b/>
      <w:color w:val="FF0000"/>
    </w:rPr>
  </w:style>
  <w:style w:type="character" w:styleId="NormalTok" w:customStyle="1">
    <w:name w:val="NormalTok"/>
    <w:qFormat/>
    <w:rPr/>
  </w:style>
  <w:style w:type="paragraph" w:styleId="Titre">
    <w:name w:val="Titre"/>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Titreuser">
    <w:name w:val="Titre (user)"/>
    <w:basedOn w:val="Normal"/>
    <w:next w:val="BodyText"/>
    <w:qFormat/>
    <w:pPr>
      <w:keepNext w:val="true"/>
      <w:spacing w:before="240" w:after="120"/>
    </w:pPr>
    <w:rPr>
      <w:rFonts w:ascii="Liberation Sans" w:hAnsi="Liberation Sans" w:eastAsia="Arial Unicode MS" w:cs="Arial Unicode MS"/>
      <w:sz w:val="28"/>
      <w:szCs w:val="28"/>
    </w:rPr>
  </w:style>
  <w:style w:type="paragraph" w:styleId="Lignehorizontaleuser">
    <w:name w:val="Ligne horizontale (user)"/>
    <w:basedOn w:val="Normal"/>
    <w:next w:val="BodyText"/>
    <w:qFormat/>
    <w:pPr>
      <w:suppressLineNumbers/>
      <w:pBdr>
        <w:bottom w:val="double" w:sz="2" w:space="0" w:color="808080"/>
      </w:pBdr>
      <w:spacing w:before="0" w:after="283"/>
    </w:pPr>
    <w:rPr>
      <w:sz w:val="12"/>
      <w:szCs w:val="12"/>
    </w:rPr>
  </w:style>
  <w:style w:type="paragraph" w:styleId="Contenudetableauuser">
    <w:name w:val="Contenu de tableau (user)"/>
    <w:basedOn w:val="Normal"/>
    <w:qFormat/>
    <w:pPr>
      <w:widowControl w:val="false"/>
      <w:suppressLineNumbers/>
    </w:pPr>
    <w:rPr/>
  </w:style>
  <w:style w:type="paragraph" w:styleId="Titredetableauuser">
    <w:name w:val="Titre de tableau (user)"/>
    <w:basedOn w:val="Contenudetableauuser"/>
    <w:qFormat/>
    <w:pPr>
      <w:suppressLineNumbers/>
      <w:jc w:val="center"/>
    </w:pPr>
    <w:rPr>
      <w:b/>
      <w:bCs/>
    </w:rPr>
  </w:style>
  <w:style w:type="paragraph" w:styleId="Blocdecitationuser">
    <w:name w:val="Bloc de citation (user)"/>
    <w:basedOn w:val="Normal"/>
    <w:qFormat/>
    <w:pPr>
      <w:spacing w:before="0" w:after="283"/>
      <w:ind w:hanging="0" w:start="567" w:end="567"/>
    </w:pPr>
    <w:rPr/>
  </w:style>
  <w:style w:type="paragraph" w:styleId="Lignehorizontale">
    <w:name w:val="Ligne horizontale"/>
    <w:basedOn w:val="Normal"/>
    <w:next w:val="BodyText"/>
    <w:qFormat/>
    <w:pPr>
      <w:suppressLineNumbers/>
      <w:pBdr>
        <w:bottom w:val="double" w:sz="2" w:space="0" w:color="808080"/>
      </w:pBdr>
      <w:spacing w:before="0" w:after="283"/>
    </w:pPr>
    <w:rPr>
      <w:sz w:val="12"/>
      <w:szCs w:val="12"/>
    </w:rPr>
  </w:style>
  <w:style w:type="paragraph" w:styleId="Blocdecitation">
    <w:name w:val="Bloc de citation"/>
    <w:basedOn w:val="Normal"/>
    <w:qFormat/>
    <w:pPr>
      <w:spacing w:before="0" w:after="283"/>
      <w:ind w:hanging="0" w:start="567" w:end="567"/>
    </w:pPr>
    <w:rPr/>
  </w:style>
  <w:style w:type="paragraph" w:styleId="Contenudetableau">
    <w:name w:val="Contenu de tableau"/>
    <w:basedOn w:val="Normal"/>
    <w:qFormat/>
    <w:pPr>
      <w:widowControl w:val="false"/>
      <w:suppressLineNumbers/>
    </w:pPr>
    <w:rPr/>
  </w:style>
  <w:style w:type="paragraph" w:styleId="Titredetableau">
    <w:name w:val="Titre de tableau"/>
    <w:basedOn w:val="Contenudetableau"/>
    <w:qFormat/>
    <w:pPr>
      <w:suppressLineNumbers/>
      <w:jc w:val="center"/>
    </w:pPr>
    <w:rPr>
      <w:b/>
      <w:bCs/>
    </w:rPr>
  </w:style>
  <w:style w:type="paragraph" w:styleId="Texteprformat">
    <w:name w:val="Texte préformaté"/>
    <w:basedOn w:val="Normal"/>
    <w:qFormat/>
    <w:pPr>
      <w:spacing w:before="0" w:after="0"/>
    </w:pPr>
    <w:rPr>
      <w:rFonts w:ascii="Liberation Mono" w:hAnsi="Liberation Mono" w:eastAsia="Liberation Mono" w:cs="Liberation Mono"/>
      <w:sz w:val="20"/>
      <w:szCs w:val="20"/>
    </w:rPr>
  </w:style>
  <w:style w:type="paragraph" w:styleId="IndexHeading">
    <w:name w:val="index heading"/>
    <w:basedOn w:val="Titre"/>
    <w:pPr>
      <w:suppressLineNumbers/>
      <w:ind w:hanging="0" w:start="0"/>
    </w:pPr>
    <w:rPr>
      <w:b/>
      <w:bCs/>
      <w:sz w:val="32"/>
      <w:szCs w:val="32"/>
    </w:rPr>
  </w:style>
  <w:style w:type="paragraph" w:styleId="TOCHeading">
    <w:name w:val="TOC Heading"/>
    <w:basedOn w:val="IndexHeading"/>
    <w:qFormat/>
    <w:pPr>
      <w:suppressLineNumbers/>
      <w:ind w:hanging="0" w:start="0"/>
    </w:pPr>
    <w:rPr>
      <w:b/>
      <w:bCs/>
      <w:sz w:val="32"/>
      <w:szCs w:val="32"/>
    </w:rPr>
  </w:style>
  <w:style w:type="paragraph" w:styleId="TOC1">
    <w:name w:val="toc 1"/>
    <w:basedOn w:val="Index"/>
    <w:pPr>
      <w:tabs>
        <w:tab w:val="clear" w:pos="709"/>
        <w:tab w:val="right" w:pos="9638" w:leader="dot"/>
      </w:tabs>
      <w:ind w:hanging="0" w:start="0"/>
    </w:pPr>
    <w:rPr/>
  </w:style>
  <w:style w:type="paragraph" w:styleId="TOC2">
    <w:name w:val="toc 2"/>
    <w:basedOn w:val="Index"/>
    <w:pPr>
      <w:tabs>
        <w:tab w:val="clear" w:pos="709"/>
        <w:tab w:val="right" w:pos="9355" w:leader="dot"/>
      </w:tabs>
      <w:ind w:hanging="0" w:start="283"/>
    </w:pPr>
    <w:rPr/>
  </w:style>
  <w:style w:type="paragraph" w:styleId="TOC3">
    <w:name w:val="toc 3"/>
    <w:basedOn w:val="Index"/>
    <w:pPr>
      <w:tabs>
        <w:tab w:val="clear" w:pos="709"/>
        <w:tab w:val="right" w:pos="9071" w:leader="dot"/>
      </w:tabs>
      <w:ind w:hanging="0" w:start="567"/>
    </w:pPr>
    <w:rPr/>
  </w:style>
  <w:style w:type="paragraph" w:styleId="TOC4">
    <w:name w:val="toc 4"/>
    <w:basedOn w:val="Index"/>
    <w:pPr>
      <w:tabs>
        <w:tab w:val="clear" w:pos="709"/>
        <w:tab w:val="right" w:pos="8788" w:leader="dot"/>
      </w:tabs>
      <w:ind w:hanging="0" w:start="850"/>
    </w:pPr>
    <w:rPr/>
  </w:style>
  <w:style w:type="paragraph" w:styleId="SourceCode" w:customStyle="1">
    <w:name w:val="Source Code"/>
    <w:basedOn w:val="Normal"/>
    <w:qFormat/>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38044</TotalTime>
  <Application>LibreOffice/26.2.1.2$MacOSX_AARCH64 LibreOffice_project/8399f6259d8c87f40e7255cdb3c9b958f5e08948</Application>
  <AppVersion>15.0000</AppVersion>
  <Pages>74</Pages>
  <Words>38789</Words>
  <Characters>232750</Characters>
  <CharactersWithSpaces>270957</CharactersWithSpaces>
  <Paragraphs>610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2026-04-23T08:32:59Z</dcterms:created>
  <dc:creator/>
  <dc:description/>
  <dc:language>fr-FR</dc:language>
  <cp:lastModifiedBy/>
  <dcterms:modified xsi:type="dcterms:W3CDTF">2026-05-14T12:13:23Z</dcterms:modified>
  <cp:revision>180</cp:revision>
  <dc:subject/>
  <dc:title/>
</cp:coreProperties>
</file>

<file path=docProps/custom.xml><?xml version="1.0" encoding="utf-8"?>
<Properties xmlns="http://schemas.openxmlformats.org/officeDocument/2006/custom-properties" xmlns:vt="http://schemas.openxmlformats.org/officeDocument/2006/docPropsVTypes"/>
</file>